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2"/>
    </w:p>
    <w:p w14:paraId="09203E64" w14:textId="77777777" w:rsidR="0047783A" w:rsidRPr="003D6B6C" w:rsidRDefault="0047783A" w:rsidP="00B34179">
      <w:pPr>
        <w:jc w:val="both"/>
        <w:rPr>
          <w:rFonts w:ascii="Times New Roman" w:hAnsi="Times New Roman"/>
          <w:b/>
          <w:sz w:val="22"/>
          <w:szCs w:val="22"/>
        </w:rPr>
      </w:pPr>
      <w:r w:rsidRPr="003D6B6C">
        <w:rPr>
          <w:rFonts w:ascii="Times New Roman" w:hAnsi="Times New Roman"/>
          <w:sz w:val="22"/>
          <w:szCs w:val="22"/>
        </w:rPr>
        <w:t>&lt;</w:t>
      </w:r>
      <w:r w:rsidRPr="003D6B6C">
        <w:rPr>
          <w:rFonts w:ascii="Times New Roman" w:hAnsi="Times New Roman"/>
          <w:sz w:val="22"/>
          <w:szCs w:val="22"/>
          <w:highlight w:val="yellow"/>
        </w:rPr>
        <w:t xml:space="preserve">Indicate here the documents, drawings to be supplied and, if necessary, the procedure </w:t>
      </w:r>
      <w:r w:rsidR="00923EDA" w:rsidRPr="003D6B6C">
        <w:rPr>
          <w:rFonts w:ascii="Times New Roman" w:hAnsi="Times New Roman"/>
          <w:sz w:val="22"/>
          <w:szCs w:val="22"/>
          <w:highlight w:val="yellow"/>
        </w:rPr>
        <w:t xml:space="preserve">to be </w:t>
      </w:r>
      <w:r w:rsidRPr="003D6B6C">
        <w:rPr>
          <w:rFonts w:ascii="Times New Roman" w:hAnsi="Times New Roman"/>
          <w:sz w:val="22"/>
          <w:szCs w:val="22"/>
          <w:highlight w:val="yellow"/>
        </w:rPr>
        <w:t xml:space="preserve">used by the </w:t>
      </w:r>
      <w:r w:rsidR="00B2529B">
        <w:rPr>
          <w:rFonts w:ascii="Times New Roman" w:hAnsi="Times New Roman"/>
          <w:sz w:val="22"/>
          <w:szCs w:val="22"/>
          <w:highlight w:val="yellow"/>
        </w:rPr>
        <w:t>c</w:t>
      </w:r>
      <w:r w:rsidRPr="003D6B6C">
        <w:rPr>
          <w:rFonts w:ascii="Times New Roman" w:hAnsi="Times New Roman"/>
          <w:sz w:val="22"/>
          <w:szCs w:val="22"/>
          <w:highlight w:val="yellow"/>
        </w:rPr>
        <w:t xml:space="preserve">ontracting </w:t>
      </w:r>
      <w:r w:rsidR="00B2529B">
        <w:rPr>
          <w:rFonts w:ascii="Times New Roman" w:hAnsi="Times New Roman"/>
          <w:sz w:val="22"/>
          <w:szCs w:val="22"/>
          <w:highlight w:val="yellow"/>
        </w:rPr>
        <w:t>a</w:t>
      </w:r>
      <w:r w:rsidRPr="003D6B6C">
        <w:rPr>
          <w:rFonts w:ascii="Times New Roman" w:hAnsi="Times New Roman"/>
          <w:sz w:val="22"/>
          <w:szCs w:val="22"/>
          <w:highlight w:val="yellow"/>
        </w:rPr>
        <w:t xml:space="preserve">uthority and the </w:t>
      </w:r>
      <w:r w:rsidR="00B2529B">
        <w:rPr>
          <w:rFonts w:ascii="Times New Roman" w:hAnsi="Times New Roman"/>
          <w:sz w:val="22"/>
          <w:szCs w:val="22"/>
          <w:highlight w:val="yellow"/>
        </w:rPr>
        <w:t>p</w:t>
      </w:r>
      <w:r w:rsidRPr="003D6B6C">
        <w:rPr>
          <w:rFonts w:ascii="Times New Roman" w:hAnsi="Times New Roman"/>
          <w:sz w:val="22"/>
          <w:szCs w:val="22"/>
          <w:highlight w:val="yellow"/>
        </w:rPr>
        <w:t xml:space="preserve">roject </w:t>
      </w:r>
      <w:r w:rsidR="00B2529B">
        <w:rPr>
          <w:rFonts w:ascii="Times New Roman" w:hAnsi="Times New Roman"/>
          <w:sz w:val="22"/>
          <w:szCs w:val="22"/>
          <w:highlight w:val="yellow"/>
        </w:rPr>
        <w:t>m</w:t>
      </w:r>
      <w:r w:rsidRPr="003D6B6C">
        <w:rPr>
          <w:rFonts w:ascii="Times New Roman" w:hAnsi="Times New Roman"/>
          <w:sz w:val="22"/>
          <w:szCs w:val="22"/>
          <w:highlight w:val="yellow"/>
        </w:rPr>
        <w:t>anager</w:t>
      </w:r>
      <w:r w:rsidR="00923EDA" w:rsidRPr="003D6B6C">
        <w:rPr>
          <w:rFonts w:ascii="Times New Roman" w:hAnsi="Times New Roman"/>
          <w:sz w:val="22"/>
          <w:szCs w:val="22"/>
          <w:highlight w:val="yellow"/>
        </w:rPr>
        <w:t xml:space="preserve"> to approve drawings and other documents provided by the </w:t>
      </w:r>
      <w:r w:rsidR="00B2529B">
        <w:rPr>
          <w:rFonts w:ascii="Times New Roman" w:hAnsi="Times New Roman"/>
          <w:sz w:val="22"/>
          <w:szCs w:val="22"/>
          <w:highlight w:val="yellow"/>
        </w:rPr>
        <w:t>c</w:t>
      </w:r>
      <w:r w:rsidR="00923EDA" w:rsidRPr="003D6B6C">
        <w:rPr>
          <w:rFonts w:ascii="Times New Roman" w:hAnsi="Times New Roman"/>
          <w:sz w:val="22"/>
          <w:szCs w:val="22"/>
          <w:highlight w:val="yellow"/>
        </w:rPr>
        <w:t>ontractor</w:t>
      </w:r>
      <w:r w:rsidRPr="003D6B6C">
        <w:rPr>
          <w:rFonts w:ascii="Times New Roman" w:hAnsi="Times New Roman"/>
          <w:sz w:val="22"/>
          <w:szCs w:val="22"/>
          <w:highlight w:val="yellow"/>
        </w:rPr>
        <w:t>&gt;</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3"/>
    </w:p>
    <w:p w14:paraId="490BDFDD" w14:textId="77777777" w:rsidR="0047783A" w:rsidRPr="003D6B6C" w:rsidRDefault="0047783A" w:rsidP="00B34179">
      <w:pPr>
        <w:jc w:val="both"/>
        <w:rPr>
          <w:rFonts w:ascii="Times New Roman" w:hAnsi="Times New Roman"/>
          <w:sz w:val="22"/>
          <w:szCs w:val="22"/>
        </w:rPr>
      </w:pPr>
      <w:r w:rsidRPr="003D6B6C">
        <w:rPr>
          <w:rFonts w:ascii="Times New Roman" w:hAnsi="Times New Roman"/>
          <w:sz w:val="22"/>
          <w:szCs w:val="22"/>
        </w:rPr>
        <w:t>&lt;</w:t>
      </w:r>
      <w:r w:rsidRPr="003D6B6C">
        <w:rPr>
          <w:rFonts w:ascii="Times New Roman" w:hAnsi="Times New Roman"/>
          <w:sz w:val="22"/>
          <w:szCs w:val="22"/>
          <w:highlight w:val="yellow"/>
        </w:rPr>
        <w:t>Specify the procedures for obtaining permits, visas, authorisation or licences or, at least, specify the relevant reference texts, if necessary</w:t>
      </w:r>
      <w:r w:rsidRPr="003D6B6C">
        <w:rPr>
          <w:rFonts w:ascii="Times New Roman" w:hAnsi="Times New Roman"/>
          <w:sz w:val="22"/>
          <w:szCs w:val="22"/>
        </w:rPr>
        <w:t>&gt;</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4"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4"/>
    </w:p>
    <w:p w14:paraId="7F4C0A19" w14:textId="3DB8DDB2" w:rsidR="0047783A" w:rsidRPr="003D6B6C" w:rsidRDefault="0047783A" w:rsidP="005D03AA">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must originate </w:t>
      </w:r>
      <w:r w:rsidR="008B230C">
        <w:rPr>
          <w:rFonts w:ascii="Times New Roman" w:hAnsi="Times New Roman"/>
          <w:sz w:val="22"/>
          <w:szCs w:val="22"/>
          <w:lang w:val="en-GB"/>
        </w:rPr>
        <w:t xml:space="preserve">from </w:t>
      </w:r>
      <w:r w:rsidR="005A6C0F" w:rsidRPr="00FE7134">
        <w:rPr>
          <w:rFonts w:ascii="Times New Roman" w:hAnsi="Times New Roman"/>
          <w:sz w:val="22"/>
          <w:szCs w:val="22"/>
          <w:lang w:val="en-GB"/>
        </w:rPr>
        <w:t xml:space="preserve">an eligible source country as defined in </w:t>
      </w:r>
      <w:r w:rsidR="00AC6C7B">
        <w:rPr>
          <w:rFonts w:ascii="Times New Roman" w:hAnsi="Times New Roman"/>
          <w:sz w:val="22"/>
          <w:szCs w:val="22"/>
          <w:lang w:val="en-GB"/>
        </w:rPr>
        <w:t xml:space="preserve">IPA 2014-2020 Regulations. </w:t>
      </w:r>
      <w:r w:rsidRPr="003D6B6C">
        <w:rPr>
          <w:rFonts w:ascii="Times New Roman" w:hAnsi="Times New Roman"/>
          <w:sz w:val="22"/>
          <w:szCs w:val="22"/>
          <w:lang w:val="en-GB"/>
        </w:rPr>
        <w:t xml:space="preserve">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w:t>
      </w:r>
      <w:r w:rsidR="007D752C">
        <w:rPr>
          <w:rFonts w:ascii="Times New Roman" w:hAnsi="Times New Roman"/>
          <w:sz w:val="22"/>
          <w:szCs w:val="22"/>
          <w:lang w:val="en-GB"/>
        </w:rPr>
        <w:t>.</w:t>
      </w:r>
      <w:r w:rsidRPr="003D6B6C">
        <w:rPr>
          <w:rFonts w:ascii="Times New Roman" w:hAnsi="Times New Roman"/>
          <w:sz w:val="22"/>
          <w:szCs w:val="22"/>
          <w:lang w:val="en-GB"/>
        </w:rPr>
        <w:t xml:space="preserve"> The origin of the goods must be determined according to the EU Customs Code or to the relevant international agreement applicable.</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5"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5"/>
    </w:p>
    <w:p w14:paraId="20BFEFF7" w14:textId="57676E4A" w:rsidR="00D25711" w:rsidRPr="003D6B6C" w:rsidRDefault="00F355C1" w:rsidP="00153721">
      <w:pPr>
        <w:ind w:left="1134" w:hanging="709"/>
        <w:jc w:val="both"/>
        <w:rPr>
          <w:rFonts w:ascii="Times New Roman" w:hAnsi="Times New Roman"/>
          <w:sz w:val="22"/>
          <w:szCs w:val="22"/>
        </w:rPr>
      </w:pPr>
      <w:r w:rsidRPr="00153721">
        <w:rPr>
          <w:rFonts w:ascii="Times New Roman" w:hAnsi="Times New Roman"/>
          <w:sz w:val="22"/>
          <w:szCs w:val="22"/>
        </w:rPr>
        <w:t>11.1</w:t>
      </w:r>
      <w:r w:rsidRPr="00153721">
        <w:rPr>
          <w:rFonts w:ascii="Times New Roman" w:hAnsi="Times New Roman"/>
          <w:sz w:val="22"/>
          <w:szCs w:val="22"/>
        </w:rPr>
        <w:tab/>
      </w:r>
      <w:r w:rsidR="00D25711" w:rsidRPr="00153721">
        <w:rPr>
          <w:rFonts w:ascii="Times New Roman" w:hAnsi="Times New Roman"/>
          <w:sz w:val="22"/>
          <w:szCs w:val="22"/>
        </w:rPr>
        <w:t>No performance guarantee is required</w:t>
      </w:r>
      <w:r w:rsidR="00153721">
        <w:rPr>
          <w:rFonts w:ascii="Times New Roman" w:hAnsi="Times New Roman"/>
          <w:sz w:val="22"/>
          <w:szCs w:val="22"/>
        </w:rPr>
        <w:t>.</w:t>
      </w:r>
    </w:p>
    <w:p w14:paraId="45A4C7E3" w14:textId="28CF0CB5" w:rsidR="00EB32E9" w:rsidRPr="00153721" w:rsidRDefault="0047783A" w:rsidP="00153721">
      <w:pPr>
        <w:spacing w:before="240"/>
        <w:ind w:left="1134" w:hanging="1134"/>
        <w:jc w:val="both"/>
        <w:rPr>
          <w:rFonts w:ascii="Times New Roman" w:hAnsi="Times New Roman"/>
          <w:b/>
          <w:sz w:val="24"/>
          <w:szCs w:val="24"/>
        </w:rPr>
      </w:pPr>
      <w:bookmarkStart w:id="6"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w:t>
      </w:r>
      <w:bookmarkEnd w:id="6"/>
      <w:r w:rsidR="00153721">
        <w:rPr>
          <w:rFonts w:ascii="Times New Roman" w:hAnsi="Times New Roman"/>
          <w:b/>
          <w:sz w:val="24"/>
          <w:szCs w:val="24"/>
        </w:rPr>
        <w:t>r</w:t>
      </w:r>
      <w:r w:rsidR="00EB32E9" w:rsidRPr="003D6B6C">
        <w:rPr>
          <w:rFonts w:ascii="Times New Roman" w:hAnsi="Times New Roman"/>
          <w:sz w:val="22"/>
          <w:szCs w:val="22"/>
        </w:rPr>
        <w:t xml:space="preserve"> </w:t>
      </w:r>
    </w:p>
    <w:p w14:paraId="5D9535E4" w14:textId="4205BA26" w:rsidR="00EB32E9" w:rsidRPr="003D6B6C" w:rsidRDefault="00EB32E9"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sz w:val="22"/>
          <w:szCs w:val="22"/>
        </w:rPr>
        <w:tab/>
      </w:r>
      <w:r w:rsidRPr="00153721">
        <w:rPr>
          <w:rFonts w:ascii="Times New Roman" w:hAnsi="Times New Roman"/>
          <w:sz w:val="22"/>
          <w:szCs w:val="22"/>
        </w:rPr>
        <w:t xml:space="preserve">The </w:t>
      </w:r>
      <w:r w:rsidR="00F60098" w:rsidRPr="00153721">
        <w:rPr>
          <w:rFonts w:ascii="Times New Roman" w:hAnsi="Times New Roman"/>
          <w:sz w:val="22"/>
          <w:szCs w:val="22"/>
        </w:rPr>
        <w:t>c</w:t>
      </w:r>
      <w:r w:rsidRPr="00153721">
        <w:rPr>
          <w:rFonts w:ascii="Times New Roman" w:hAnsi="Times New Roman"/>
          <w:sz w:val="22"/>
          <w:szCs w:val="22"/>
        </w:rPr>
        <w:t xml:space="preserve">ontracting </w:t>
      </w:r>
      <w:r w:rsidR="00F60098" w:rsidRPr="00153721">
        <w:rPr>
          <w:rFonts w:ascii="Times New Roman" w:hAnsi="Times New Roman"/>
          <w:sz w:val="22"/>
          <w:szCs w:val="22"/>
        </w:rPr>
        <w:t>a</w:t>
      </w:r>
      <w:r w:rsidRPr="00153721">
        <w:rPr>
          <w:rFonts w:ascii="Times New Roman" w:hAnsi="Times New Roman"/>
          <w:sz w:val="22"/>
          <w:szCs w:val="22"/>
        </w:rPr>
        <w:t xml:space="preserve">uthority </w:t>
      </w:r>
      <w:r w:rsidR="00551543" w:rsidRPr="00153721">
        <w:rPr>
          <w:rFonts w:ascii="Times New Roman" w:hAnsi="Times New Roman"/>
          <w:sz w:val="22"/>
          <w:szCs w:val="22"/>
        </w:rPr>
        <w:t>sha</w:t>
      </w:r>
      <w:r w:rsidRPr="00153721">
        <w:rPr>
          <w:rFonts w:ascii="Times New Roman" w:hAnsi="Times New Roman"/>
          <w:sz w:val="22"/>
          <w:szCs w:val="22"/>
        </w:rPr>
        <w:t xml:space="preserve">ll inform the </w:t>
      </w:r>
      <w:r w:rsidR="00F60098" w:rsidRPr="00153721">
        <w:rPr>
          <w:rFonts w:ascii="Times New Roman" w:hAnsi="Times New Roman"/>
          <w:sz w:val="22"/>
          <w:szCs w:val="22"/>
        </w:rPr>
        <w:t>c</w:t>
      </w:r>
      <w:r w:rsidRPr="00153721">
        <w:rPr>
          <w:rFonts w:ascii="Times New Roman" w:hAnsi="Times New Roman"/>
          <w:sz w:val="22"/>
          <w:szCs w:val="22"/>
        </w:rPr>
        <w:t xml:space="preserve">ontractor </w:t>
      </w:r>
      <w:r w:rsidR="00551543" w:rsidRPr="00153721">
        <w:rPr>
          <w:rFonts w:ascii="Times New Roman" w:hAnsi="Times New Roman"/>
          <w:sz w:val="22"/>
          <w:szCs w:val="22"/>
        </w:rPr>
        <w:t xml:space="preserve">by administrative order </w:t>
      </w:r>
      <w:r w:rsidRPr="00153721">
        <w:rPr>
          <w:rFonts w:ascii="Times New Roman" w:hAnsi="Times New Roman"/>
          <w:sz w:val="22"/>
          <w:szCs w:val="22"/>
        </w:rPr>
        <w:t>of the date on which implementation of the tasks shall begin</w:t>
      </w:r>
      <w:r w:rsidR="00551543" w:rsidRPr="00153721">
        <w:rPr>
          <w:rFonts w:ascii="Times New Roman" w:hAnsi="Times New Roman"/>
          <w:sz w:val="22"/>
          <w:szCs w:val="22"/>
        </w:rPr>
        <w:t>.</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7"/>
      <w:r w:rsidRPr="003D6B6C">
        <w:rPr>
          <w:rFonts w:ascii="Times New Roman" w:hAnsi="Times New Roman"/>
          <w:b/>
          <w:sz w:val="24"/>
          <w:szCs w:val="24"/>
        </w:rPr>
        <w:t xml:space="preserve"> of the tasks</w:t>
      </w:r>
    </w:p>
    <w:p w14:paraId="24D80EC0" w14:textId="6C384A4B"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153721">
        <w:rPr>
          <w:rFonts w:ascii="Times New Roman" w:hAnsi="Times New Roman"/>
          <w:sz w:val="22"/>
          <w:szCs w:val="22"/>
        </w:rPr>
        <w:t xml:space="preserve">Implementation period </w:t>
      </w:r>
      <w:r w:rsidR="00C53309">
        <w:rPr>
          <w:rFonts w:ascii="Times New Roman" w:hAnsi="Times New Roman"/>
          <w:sz w:val="22"/>
          <w:szCs w:val="22"/>
        </w:rPr>
        <w:t>is 28 months.</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8"/>
      <w:r w:rsidR="005B0129" w:rsidRPr="003D6B6C">
        <w:rPr>
          <w:rFonts w:ascii="Times New Roman" w:hAnsi="Times New Roman"/>
          <w:b/>
          <w:sz w:val="24"/>
          <w:szCs w:val="24"/>
        </w:rPr>
        <w:t>General principles for payments</w:t>
      </w:r>
    </w:p>
    <w:p w14:paraId="6ECB3C62" w14:textId="2CD3329F"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proofErr w:type="gramStart"/>
      <w:r w:rsidR="00C53309">
        <w:rPr>
          <w:rFonts w:ascii="Times New Roman" w:hAnsi="Times New Roman"/>
          <w:sz w:val="22"/>
          <w:szCs w:val="22"/>
        </w:rPr>
        <w:t>EUR</w:t>
      </w:r>
      <w:proofErr w:type="gramEnd"/>
    </w:p>
    <w:p w14:paraId="05D86986" w14:textId="3D49CB50" w:rsidR="0047783A" w:rsidRPr="00C53309" w:rsidRDefault="00C70E2C" w:rsidP="005D03AA">
      <w:pPr>
        <w:tabs>
          <w:tab w:val="right" w:pos="9885"/>
        </w:tabs>
        <w:ind w:left="1134"/>
        <w:jc w:val="both"/>
        <w:rPr>
          <w:rFonts w:ascii="Times New Roman" w:hAnsi="Times New Roman"/>
          <w:sz w:val="22"/>
          <w:szCs w:val="22"/>
        </w:rPr>
      </w:pPr>
      <w:r w:rsidRPr="00C53309">
        <w:rPr>
          <w:rFonts w:ascii="Times New Roman" w:hAnsi="Times New Roman"/>
          <w:sz w:val="22"/>
          <w:szCs w:val="22"/>
        </w:rPr>
        <w:t xml:space="preserve">Pre-financing is not applicable to this </w:t>
      </w:r>
      <w:proofErr w:type="gramStart"/>
      <w:r w:rsidRPr="00C53309">
        <w:rPr>
          <w:rFonts w:ascii="Times New Roman" w:hAnsi="Times New Roman"/>
          <w:sz w:val="22"/>
          <w:szCs w:val="22"/>
        </w:rPr>
        <w:t>contract</w:t>
      </w:r>
      <w:proofErr w:type="gramEnd"/>
    </w:p>
    <w:p w14:paraId="31C5B0B8" w14:textId="6F94B4D3" w:rsidR="00C53309" w:rsidRPr="00C53309" w:rsidRDefault="0047783A" w:rsidP="005D03AA">
      <w:pPr>
        <w:ind w:left="1134"/>
        <w:jc w:val="both"/>
        <w:rPr>
          <w:rFonts w:ascii="Times New Roman" w:hAnsi="Times New Roman"/>
          <w:sz w:val="22"/>
          <w:szCs w:val="22"/>
        </w:rPr>
      </w:pPr>
      <w:r w:rsidRPr="00C53309">
        <w:rPr>
          <w:rFonts w:ascii="Times New Roman" w:hAnsi="Times New Roman"/>
          <w:sz w:val="22"/>
          <w:szCs w:val="22"/>
        </w:rPr>
        <w:lastRenderedPageBreak/>
        <w:t xml:space="preserve">Payments </w:t>
      </w:r>
      <w:r w:rsidR="005B0129" w:rsidRPr="00C53309">
        <w:rPr>
          <w:rFonts w:ascii="Times New Roman" w:hAnsi="Times New Roman"/>
          <w:sz w:val="22"/>
          <w:szCs w:val="22"/>
        </w:rPr>
        <w:t xml:space="preserve">shall </w:t>
      </w:r>
      <w:r w:rsidRPr="00C53309">
        <w:rPr>
          <w:rFonts w:ascii="Times New Roman" w:hAnsi="Times New Roman"/>
          <w:sz w:val="22"/>
          <w:szCs w:val="22"/>
        </w:rPr>
        <w:t xml:space="preserve">be authorised and made by </w:t>
      </w:r>
      <w:r w:rsidR="00C53309" w:rsidRPr="00C53309">
        <w:rPr>
          <w:rFonts w:ascii="Times New Roman" w:hAnsi="Times New Roman"/>
          <w:sz w:val="22"/>
          <w:szCs w:val="22"/>
        </w:rPr>
        <w:t>Project Manager of the EU for Municipalities project</w:t>
      </w:r>
    </w:p>
    <w:p w14:paraId="780AD638" w14:textId="77777777" w:rsidR="001B4DA9" w:rsidRPr="00C53309" w:rsidRDefault="00E87734" w:rsidP="005D03AA">
      <w:pPr>
        <w:ind w:left="1134" w:hanging="709"/>
        <w:jc w:val="both"/>
        <w:rPr>
          <w:rFonts w:ascii="Times New Roman" w:hAnsi="Times New Roman"/>
          <w:sz w:val="22"/>
          <w:szCs w:val="22"/>
        </w:rPr>
      </w:pPr>
      <w:r w:rsidRPr="00C53309">
        <w:rPr>
          <w:rFonts w:ascii="Times New Roman" w:hAnsi="Times New Roman"/>
          <w:sz w:val="22"/>
          <w:szCs w:val="22"/>
        </w:rPr>
        <w:t>26.</w:t>
      </w:r>
      <w:r w:rsidR="00035D61" w:rsidRPr="00C53309">
        <w:rPr>
          <w:rFonts w:ascii="Times New Roman" w:hAnsi="Times New Roman"/>
          <w:sz w:val="22"/>
          <w:szCs w:val="22"/>
        </w:rPr>
        <w:t>5</w:t>
      </w:r>
      <w:r w:rsidR="0047783A" w:rsidRPr="00C53309">
        <w:rPr>
          <w:rFonts w:ascii="Times New Roman" w:hAnsi="Times New Roman"/>
          <w:sz w:val="22"/>
          <w:szCs w:val="22"/>
        </w:rPr>
        <w:tab/>
        <w:t xml:space="preserve">In order to obtain payments, the </w:t>
      </w:r>
      <w:r w:rsidR="00F60098" w:rsidRPr="00C53309">
        <w:rPr>
          <w:rFonts w:ascii="Times New Roman" w:hAnsi="Times New Roman"/>
          <w:sz w:val="22"/>
          <w:szCs w:val="22"/>
        </w:rPr>
        <w:t>c</w:t>
      </w:r>
      <w:r w:rsidR="0047783A" w:rsidRPr="00C53309">
        <w:rPr>
          <w:rFonts w:ascii="Times New Roman" w:hAnsi="Times New Roman"/>
          <w:sz w:val="22"/>
          <w:szCs w:val="22"/>
        </w:rPr>
        <w:t>ontractor must forward to the authority referred to in paragraph 26.1 above:</w:t>
      </w:r>
    </w:p>
    <w:p w14:paraId="4B2D934E" w14:textId="6B8CA51E" w:rsidR="00695007" w:rsidRPr="00C53309" w:rsidRDefault="00035D61" w:rsidP="00C53309">
      <w:pPr>
        <w:ind w:left="1560" w:hanging="426"/>
        <w:jc w:val="both"/>
        <w:rPr>
          <w:rFonts w:ascii="Times New Roman" w:hAnsi="Times New Roman"/>
          <w:bCs/>
          <w:sz w:val="22"/>
          <w:szCs w:val="22"/>
        </w:rPr>
      </w:pPr>
      <w:proofErr w:type="gramStart"/>
      <w:r w:rsidRPr="00C53309">
        <w:rPr>
          <w:rFonts w:ascii="Times New Roman" w:hAnsi="Times New Roman"/>
          <w:sz w:val="22"/>
          <w:szCs w:val="22"/>
        </w:rPr>
        <w:t>a)</w:t>
      </w:r>
      <w:r w:rsidR="00695007" w:rsidRPr="00C53309">
        <w:rPr>
          <w:rFonts w:ascii="Times New Roman" w:hAnsi="Times New Roman"/>
          <w:bCs/>
          <w:sz w:val="22"/>
          <w:szCs w:val="22"/>
        </w:rPr>
        <w:t>[</w:t>
      </w:r>
      <w:proofErr w:type="gramEnd"/>
      <w:r w:rsidR="00C53309" w:rsidRPr="00C53309">
        <w:rPr>
          <w:rFonts w:ascii="Times New Roman" w:hAnsi="Times New Roman"/>
          <w:bCs/>
          <w:sz w:val="22"/>
          <w:szCs w:val="22"/>
        </w:rPr>
        <w:tab/>
      </w:r>
      <w:r w:rsidR="00695007" w:rsidRPr="00C53309">
        <w:rPr>
          <w:rFonts w:ascii="Times New Roman" w:hAnsi="Times New Roman"/>
          <w:bCs/>
          <w:sz w:val="22"/>
          <w:szCs w:val="22"/>
        </w:rPr>
        <w:t xml:space="preserve">By derogation from article </w:t>
      </w:r>
      <w:r w:rsidR="00695007" w:rsidRPr="00C53309">
        <w:rPr>
          <w:rFonts w:ascii="Times New Roman" w:hAnsi="Times New Roman"/>
          <w:sz w:val="22"/>
          <w:szCs w:val="22"/>
        </w:rPr>
        <w:t xml:space="preserve">26.5 of the </w:t>
      </w:r>
      <w:r w:rsidR="00F60098" w:rsidRPr="00C53309">
        <w:rPr>
          <w:rFonts w:ascii="Times New Roman" w:hAnsi="Times New Roman"/>
          <w:sz w:val="22"/>
          <w:szCs w:val="22"/>
        </w:rPr>
        <w:t>g</w:t>
      </w:r>
      <w:r w:rsidR="00695007" w:rsidRPr="00C53309">
        <w:rPr>
          <w:rFonts w:ascii="Times New Roman" w:hAnsi="Times New Roman"/>
          <w:sz w:val="22"/>
          <w:szCs w:val="22"/>
        </w:rPr>
        <w:t xml:space="preserve">eneral </w:t>
      </w:r>
      <w:r w:rsidR="00F60098" w:rsidRPr="00C53309">
        <w:rPr>
          <w:rFonts w:ascii="Times New Roman" w:hAnsi="Times New Roman"/>
          <w:sz w:val="22"/>
          <w:szCs w:val="22"/>
        </w:rPr>
        <w:t>c</w:t>
      </w:r>
      <w:r w:rsidR="00695007" w:rsidRPr="00C53309">
        <w:rPr>
          <w:rFonts w:ascii="Times New Roman" w:hAnsi="Times New Roman"/>
          <w:sz w:val="22"/>
          <w:szCs w:val="22"/>
        </w:rPr>
        <w:t xml:space="preserve">onditions, </w:t>
      </w:r>
      <w:r w:rsidR="00695007" w:rsidRPr="00C53309">
        <w:rPr>
          <w:rFonts w:ascii="Times New Roman" w:hAnsi="Times New Roman"/>
          <w:bCs/>
          <w:sz w:val="22"/>
          <w:szCs w:val="22"/>
        </w:rPr>
        <w:t>no pre-financing guarantee is required.</w:t>
      </w:r>
    </w:p>
    <w:p w14:paraId="5F4E934E" w14:textId="6FB8B36A" w:rsidR="00C53309" w:rsidRDefault="0047783A" w:rsidP="00C53309">
      <w:pPr>
        <w:spacing w:after="0"/>
        <w:ind w:left="1559" w:hanging="425"/>
        <w:jc w:val="both"/>
        <w:rPr>
          <w:rFonts w:ascii="Times New Roman" w:hAnsi="Times New Roman"/>
          <w:sz w:val="22"/>
          <w:szCs w:val="22"/>
        </w:rPr>
      </w:pPr>
      <w:r w:rsidRPr="00C53309">
        <w:rPr>
          <w:rFonts w:ascii="Times New Roman" w:hAnsi="Times New Roman"/>
          <w:sz w:val="22"/>
          <w:szCs w:val="22"/>
        </w:rPr>
        <w:t>b)</w:t>
      </w:r>
      <w:r w:rsidRPr="00C53309">
        <w:rPr>
          <w:rFonts w:ascii="Times New Roman" w:hAnsi="Times New Roman"/>
          <w:b/>
          <w:sz w:val="22"/>
          <w:szCs w:val="22"/>
        </w:rPr>
        <w:tab/>
      </w:r>
      <w:r w:rsidR="00B86492">
        <w:rPr>
          <w:rFonts w:ascii="Times New Roman" w:hAnsi="Times New Roman"/>
          <w:b/>
          <w:sz w:val="22"/>
          <w:szCs w:val="22"/>
        </w:rPr>
        <w:t>T</w:t>
      </w:r>
      <w:r w:rsidRPr="00C53309">
        <w:rPr>
          <w:rFonts w:ascii="Times New Roman" w:hAnsi="Times New Roman"/>
          <w:sz w:val="22"/>
          <w:szCs w:val="22"/>
        </w:rPr>
        <w:t>he invoice(s) in triplicate</w:t>
      </w:r>
      <w:r w:rsidR="00C53309" w:rsidRPr="00C53309">
        <w:rPr>
          <w:rFonts w:ascii="Times New Roman" w:hAnsi="Times New Roman"/>
          <w:sz w:val="22"/>
          <w:szCs w:val="22"/>
        </w:rPr>
        <w:t xml:space="preserve"> each month of the Contract duration</w:t>
      </w:r>
      <w:r w:rsidR="00C53309">
        <w:rPr>
          <w:rFonts w:ascii="Times New Roman" w:hAnsi="Times New Roman"/>
          <w:sz w:val="22"/>
          <w:szCs w:val="22"/>
        </w:rPr>
        <w:t>.</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9"/>
    </w:p>
    <w:p w14:paraId="38CCDEFD" w14:textId="337B0861"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r w:rsidR="00B86492">
        <w:rPr>
          <w:rFonts w:ascii="Times New Roman" w:hAnsi="Times New Roman"/>
          <w:sz w:val="22"/>
          <w:szCs w:val="22"/>
        </w:rPr>
        <w:t>Upon Contract signature, Contracting Authority will issue a Provisional acceptance certificate.</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0"/>
    </w:p>
    <w:p w14:paraId="32FDF6D7" w14:textId="5EADF11E" w:rsidR="00407C90" w:rsidRPr="00B86492" w:rsidRDefault="0047783A" w:rsidP="00B86492">
      <w:pPr>
        <w:ind w:left="1134" w:hanging="708"/>
        <w:jc w:val="both"/>
        <w:rPr>
          <w:rFonts w:ascii="Times New Roman" w:hAnsi="Times New Roman"/>
          <w:sz w:val="22"/>
          <w:szCs w:val="22"/>
        </w:rPr>
      </w:pPr>
      <w:r w:rsidRPr="00B86492">
        <w:rPr>
          <w:rFonts w:ascii="Times New Roman" w:hAnsi="Times New Roman"/>
          <w:sz w:val="22"/>
          <w:szCs w:val="22"/>
        </w:rPr>
        <w:t>40.</w:t>
      </w:r>
      <w:r w:rsidR="00D83918" w:rsidRPr="00B86492">
        <w:rPr>
          <w:rFonts w:ascii="Times New Roman" w:hAnsi="Times New Roman"/>
          <w:sz w:val="22"/>
          <w:szCs w:val="22"/>
        </w:rPr>
        <w:t>4</w:t>
      </w:r>
      <w:r w:rsidRPr="00B86492">
        <w:rPr>
          <w:rFonts w:ascii="Times New Roman" w:hAnsi="Times New Roman"/>
          <w:sz w:val="22"/>
          <w:szCs w:val="22"/>
        </w:rPr>
        <w:tab/>
        <w:t xml:space="preserve">Any disputes arising out of or relating to this </w:t>
      </w:r>
      <w:r w:rsidR="00F60098" w:rsidRPr="00B86492">
        <w:rPr>
          <w:rFonts w:ascii="Times New Roman" w:hAnsi="Times New Roman"/>
          <w:sz w:val="22"/>
          <w:szCs w:val="22"/>
        </w:rPr>
        <w:t>c</w:t>
      </w:r>
      <w:r w:rsidR="0097513D" w:rsidRPr="00B86492">
        <w:rPr>
          <w:rFonts w:ascii="Times New Roman" w:hAnsi="Times New Roman"/>
          <w:sz w:val="22"/>
          <w:szCs w:val="22"/>
        </w:rPr>
        <w:t>ontract</w:t>
      </w:r>
      <w:r w:rsidRPr="00B86492">
        <w:rPr>
          <w:rFonts w:ascii="Times New Roman" w:hAnsi="Times New Roman"/>
          <w:sz w:val="22"/>
          <w:szCs w:val="22"/>
        </w:rPr>
        <w:t xml:space="preserve"> which cannot be settled otherwise </w:t>
      </w:r>
      <w:r w:rsidR="00177A94" w:rsidRPr="00B86492">
        <w:rPr>
          <w:rFonts w:ascii="Times New Roman" w:hAnsi="Times New Roman"/>
          <w:sz w:val="22"/>
          <w:szCs w:val="22"/>
        </w:rPr>
        <w:t xml:space="preserve">shall </w:t>
      </w:r>
      <w:r w:rsidRPr="00B86492">
        <w:rPr>
          <w:rFonts w:ascii="Times New Roman" w:hAnsi="Times New Roman"/>
          <w:sz w:val="22"/>
          <w:szCs w:val="22"/>
        </w:rPr>
        <w:t xml:space="preserve">be referred to the exclusive jurisdiction of </w:t>
      </w:r>
      <w:r w:rsidR="00B86492" w:rsidRPr="00B86492">
        <w:rPr>
          <w:rFonts w:ascii="Times New Roman" w:hAnsi="Times New Roman"/>
          <w:sz w:val="22"/>
          <w:szCs w:val="22"/>
        </w:rPr>
        <w:t>Albania</w:t>
      </w:r>
      <w:r w:rsidRPr="00B86492">
        <w:rPr>
          <w:rFonts w:ascii="Times New Roman" w:hAnsi="Times New Roman"/>
          <w:sz w:val="22"/>
          <w:szCs w:val="22"/>
        </w:rPr>
        <w:t xml:space="preserve"> </w:t>
      </w:r>
      <w:r w:rsidR="00686ACD" w:rsidRPr="00B86492">
        <w:rPr>
          <w:rFonts w:ascii="Times New Roman" w:hAnsi="Times New Roman"/>
          <w:sz w:val="22"/>
          <w:szCs w:val="22"/>
        </w:rPr>
        <w:t xml:space="preserve">in accordance with </w:t>
      </w:r>
      <w:r w:rsidRPr="00B86492">
        <w:rPr>
          <w:rFonts w:ascii="Times New Roman" w:hAnsi="Times New Roman"/>
          <w:sz w:val="22"/>
          <w:szCs w:val="22"/>
        </w:rPr>
        <w:t xml:space="preserve">the national legislation of </w:t>
      </w:r>
      <w:r w:rsidR="009A0E33" w:rsidRPr="00B86492">
        <w:rPr>
          <w:rFonts w:ascii="Times New Roman" w:hAnsi="Times New Roman"/>
          <w:sz w:val="22"/>
          <w:szCs w:val="22"/>
        </w:rPr>
        <w:t xml:space="preserve">the state of </w:t>
      </w:r>
      <w:r w:rsidRPr="00B86492">
        <w:rPr>
          <w:rFonts w:ascii="Times New Roman" w:hAnsi="Times New Roman"/>
          <w:sz w:val="22"/>
          <w:szCs w:val="22"/>
        </w:rPr>
        <w:t xml:space="preserve">the </w:t>
      </w:r>
      <w:r w:rsidR="00F60098" w:rsidRPr="00B86492">
        <w:rPr>
          <w:rFonts w:ascii="Times New Roman" w:hAnsi="Times New Roman"/>
          <w:sz w:val="22"/>
          <w:szCs w:val="22"/>
        </w:rPr>
        <w:t>c</w:t>
      </w:r>
      <w:r w:rsidRPr="00B86492">
        <w:rPr>
          <w:rFonts w:ascii="Times New Roman" w:hAnsi="Times New Roman"/>
          <w:sz w:val="22"/>
          <w:szCs w:val="22"/>
        </w:rPr>
        <w:t xml:space="preserve">ontracting </w:t>
      </w:r>
      <w:r w:rsidR="00F60098" w:rsidRPr="00B86492">
        <w:rPr>
          <w:rFonts w:ascii="Times New Roman" w:hAnsi="Times New Roman"/>
          <w:sz w:val="22"/>
          <w:szCs w:val="22"/>
        </w:rPr>
        <w:t>a</w:t>
      </w:r>
      <w:r w:rsidRPr="00B86492">
        <w:rPr>
          <w:rFonts w:ascii="Times New Roman" w:hAnsi="Times New Roman"/>
          <w:sz w:val="22"/>
          <w:szCs w:val="22"/>
        </w:rPr>
        <w:t>uthority.</w:t>
      </w:r>
    </w:p>
    <w:p w14:paraId="53F35545" w14:textId="77777777" w:rsidR="00407C90" w:rsidRPr="00B86492" w:rsidRDefault="00407C90" w:rsidP="00407C90">
      <w:pPr>
        <w:keepNext/>
        <w:keepLines/>
        <w:tabs>
          <w:tab w:val="left" w:pos="1134"/>
        </w:tabs>
        <w:spacing w:before="240"/>
        <w:ind w:left="1134" w:hanging="1134"/>
        <w:rPr>
          <w:rFonts w:ascii="Times New Roman" w:hAnsi="Times New Roman"/>
          <w:b/>
          <w:sz w:val="24"/>
          <w:szCs w:val="24"/>
        </w:rPr>
      </w:pPr>
      <w:r w:rsidRPr="00B86492">
        <w:rPr>
          <w:rFonts w:ascii="Times New Roman" w:hAnsi="Times New Roman"/>
          <w:b/>
          <w:sz w:val="24"/>
          <w:szCs w:val="24"/>
        </w:rPr>
        <w:t>Article 44</w:t>
      </w:r>
      <w:r w:rsidRPr="00B86492">
        <w:rPr>
          <w:rFonts w:ascii="Times New Roman" w:hAnsi="Times New Roman"/>
          <w:b/>
          <w:sz w:val="24"/>
          <w:szCs w:val="24"/>
        </w:rPr>
        <w:tab/>
        <w:t xml:space="preserve">Data </w:t>
      </w:r>
      <w:r w:rsidR="00686E07" w:rsidRPr="00B86492">
        <w:rPr>
          <w:rFonts w:ascii="Times New Roman" w:hAnsi="Times New Roman"/>
          <w:b/>
          <w:sz w:val="24"/>
          <w:szCs w:val="24"/>
        </w:rPr>
        <w:t>p</w:t>
      </w:r>
      <w:r w:rsidRPr="00B86492">
        <w:rPr>
          <w:rFonts w:ascii="Times New Roman" w:hAnsi="Times New Roman"/>
          <w:b/>
          <w:sz w:val="24"/>
          <w:szCs w:val="24"/>
        </w:rPr>
        <w:t>rotection</w:t>
      </w:r>
    </w:p>
    <w:p w14:paraId="5F3FDACE" w14:textId="37C51819" w:rsidR="009F7E6A" w:rsidRPr="00B86492" w:rsidRDefault="009F7E6A" w:rsidP="009F7E6A">
      <w:pPr>
        <w:jc w:val="both"/>
        <w:rPr>
          <w:rFonts w:ascii="Times New Roman" w:hAnsi="Times New Roman"/>
          <w:sz w:val="22"/>
          <w:szCs w:val="22"/>
        </w:rPr>
      </w:pPr>
      <w:r w:rsidRPr="00B86492">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77777777" w:rsidR="009F7E6A" w:rsidRPr="00F4288C" w:rsidRDefault="009F7E6A" w:rsidP="009F7E6A">
      <w:pPr>
        <w:jc w:val="both"/>
        <w:rPr>
          <w:rFonts w:ascii="Times New Roman" w:hAnsi="Times New Roman"/>
          <w:sz w:val="22"/>
          <w:szCs w:val="22"/>
          <w:u w:val="single"/>
        </w:rPr>
      </w:pPr>
      <w:r w:rsidRPr="00B86492">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B86492">
        <w:rPr>
          <w:rStyle w:val="FootnoteReference"/>
          <w:rFonts w:ascii="Times New Roman" w:hAnsi="Times New Roman"/>
          <w:sz w:val="22"/>
          <w:szCs w:val="22"/>
        </w:rPr>
        <w:footnoteReference w:id="1"/>
      </w:r>
      <w:r w:rsidRPr="00B86492">
        <w:rPr>
          <w:rFonts w:ascii="Times New Roman" w:hAnsi="Times New Roman"/>
          <w:sz w:val="22"/>
          <w:szCs w:val="22"/>
        </w:rPr>
        <w:t xml:space="preserve"> and as detailed in the specific privacy statement published at </w:t>
      </w:r>
      <w:proofErr w:type="spellStart"/>
      <w:r w:rsidRPr="00B86492">
        <w:rPr>
          <w:rFonts w:ascii="Times New Roman" w:hAnsi="Times New Roman"/>
          <w:sz w:val="22"/>
          <w:szCs w:val="22"/>
        </w:rPr>
        <w:t>ePRAG</w:t>
      </w:r>
      <w:proofErr w:type="spellEnd"/>
      <w:r w:rsidRPr="00B86492">
        <w:rPr>
          <w:rFonts w:ascii="Times New Roman" w:hAnsi="Times New Roman"/>
          <w:sz w:val="22"/>
          <w:szCs w:val="22"/>
        </w:rPr>
        <w:t>.</w:t>
      </w:r>
      <w:r w:rsidRPr="00B86492">
        <w:rPr>
          <w:rFonts w:ascii="Times New Roman" w:hAnsi="Times New Roman"/>
          <w:sz w:val="22"/>
          <w:szCs w:val="22"/>
          <w:u w:val="single"/>
        </w:rPr>
        <w:t>]</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8"/>
      <w:footerReference w:type="default" r:id="rId9"/>
      <w:footerReference w:type="first" r:id="rId10"/>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E2D14" w14:textId="77777777" w:rsidR="00FE41A2" w:rsidRPr="006A5F84" w:rsidRDefault="00FE41A2">
      <w:r w:rsidRPr="006A5F84">
        <w:separator/>
      </w:r>
    </w:p>
  </w:endnote>
  <w:endnote w:type="continuationSeparator" w:id="0">
    <w:p w14:paraId="4783AF5F" w14:textId="77777777" w:rsidR="00FE41A2" w:rsidRPr="006A5F84" w:rsidRDefault="00FE41A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D2995" w14:textId="40AF42F2"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20F3B" w14:textId="77777777" w:rsidR="00FE41A2" w:rsidRPr="006A5F84" w:rsidRDefault="00FE41A2">
      <w:r w:rsidRPr="006A5F84">
        <w:separator/>
      </w:r>
    </w:p>
  </w:footnote>
  <w:footnote w:type="continuationSeparator" w:id="0">
    <w:p w14:paraId="1A9299FF" w14:textId="77777777" w:rsidR="00FE41A2" w:rsidRPr="006A5F84" w:rsidRDefault="00FE41A2">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3721"/>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D28"/>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6C7B"/>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86492"/>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53309"/>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E677F"/>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41A2"/>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1B21F-EA1D-40AF-88CB-E5DA8474F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484</TotalTime>
  <Pages>2</Pages>
  <Words>678</Words>
  <Characters>3866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4535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Darko Mrvaljevic</cp:lastModifiedBy>
  <cp:revision>26</cp:revision>
  <cp:lastPrinted>2014-02-11T14:32:00Z</cp:lastPrinted>
  <dcterms:created xsi:type="dcterms:W3CDTF">2018-12-18T11:40:00Z</dcterms:created>
  <dcterms:modified xsi:type="dcterms:W3CDTF">2021-06-21T14:43:00Z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