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0CE4" w14:textId="54FD8D6B" w:rsidR="003436FE" w:rsidRPr="002B370E" w:rsidRDefault="00550017">
      <w:pPr>
        <w:pStyle w:val="Subtitle"/>
        <w:spacing w:after="240"/>
        <w:rPr>
          <w:lang w:val="en-GB"/>
        </w:rPr>
      </w:pPr>
      <w:r>
        <w:rPr>
          <w:lang w:val="en-GB"/>
        </w:rPr>
        <w:t>INSTRUCTIONS TO TENDERES</w:t>
      </w:r>
    </w:p>
    <w:p w14:paraId="77325E44"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4D1B7031"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1EF02ED0" w14:textId="77777777" w:rsidR="00330AC3" w:rsidRDefault="003436FE" w:rsidP="00330AC3">
      <w:pPr>
        <w:spacing w:after="120"/>
        <w:jc w:val="both"/>
        <w:rPr>
          <w:sz w:val="22"/>
          <w:szCs w:val="22"/>
        </w:rPr>
      </w:pPr>
      <w:r w:rsidRPr="002B370E">
        <w:rPr>
          <w:sz w:val="22"/>
          <w:szCs w:val="22"/>
        </w:rPr>
        <w:t xml:space="preserve">The services required by the </w:t>
      </w:r>
      <w:r w:rsidR="00CD78C3">
        <w:rPr>
          <w:sz w:val="22"/>
          <w:szCs w:val="22"/>
        </w:rPr>
        <w:t>c</w:t>
      </w:r>
      <w:r w:rsidRPr="002B370E">
        <w:rPr>
          <w:sz w:val="22"/>
          <w:szCs w:val="22"/>
        </w:rPr>
        <w:t xml:space="preserve">ontracting </w:t>
      </w:r>
      <w:r w:rsidR="00CD78C3">
        <w:rPr>
          <w:sz w:val="22"/>
          <w:szCs w:val="22"/>
        </w:rPr>
        <w:t>a</w:t>
      </w:r>
      <w:r w:rsidRPr="002B370E">
        <w:rPr>
          <w:sz w:val="22"/>
          <w:szCs w:val="22"/>
        </w:rPr>
        <w:t xml:space="preserve">uthority are described in the </w:t>
      </w:r>
      <w:r w:rsidR="006D6595">
        <w:rPr>
          <w:sz w:val="22"/>
          <w:szCs w:val="22"/>
        </w:rPr>
        <w:t>t</w:t>
      </w:r>
      <w:r w:rsidRPr="002B370E">
        <w:rPr>
          <w:sz w:val="22"/>
          <w:szCs w:val="22"/>
        </w:rPr>
        <w:t xml:space="preserve">erms of </w:t>
      </w:r>
      <w:r w:rsidR="006D6595">
        <w:rPr>
          <w:sz w:val="22"/>
          <w:szCs w:val="22"/>
        </w:rPr>
        <w:t>r</w:t>
      </w:r>
      <w:r w:rsidRPr="002B370E">
        <w:rPr>
          <w:sz w:val="22"/>
          <w:szCs w:val="22"/>
        </w:rPr>
        <w:t xml:space="preserve">eference. </w:t>
      </w:r>
      <w:bookmarkStart w:id="0" w:name="_Ref499723935"/>
    </w:p>
    <w:p w14:paraId="4F074AB6" w14:textId="7C59DFEB" w:rsidR="003436FE" w:rsidRPr="002B370E" w:rsidRDefault="003436FE" w:rsidP="00330AC3">
      <w:pPr>
        <w:spacing w:after="120"/>
        <w:jc w:val="both"/>
        <w:rPr>
          <w:b/>
          <w:sz w:val="24"/>
          <w:szCs w:val="24"/>
        </w:rPr>
      </w:pPr>
      <w:r w:rsidRPr="002B370E">
        <w:rPr>
          <w:b/>
          <w:sz w:val="24"/>
          <w:szCs w:val="24"/>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984"/>
        <w:gridCol w:w="2127"/>
      </w:tblGrid>
      <w:tr w:rsidR="003436FE" w:rsidRPr="002B370E" w14:paraId="205BDACF" w14:textId="77777777" w:rsidTr="006D41EB">
        <w:tc>
          <w:tcPr>
            <w:tcW w:w="4253" w:type="dxa"/>
            <w:tcBorders>
              <w:bottom w:val="nil"/>
            </w:tcBorders>
          </w:tcPr>
          <w:p w14:paraId="65CA12BD" w14:textId="77777777" w:rsidR="003436FE" w:rsidRPr="002B370E" w:rsidRDefault="003436FE">
            <w:pPr>
              <w:rPr>
                <w:sz w:val="22"/>
                <w:szCs w:val="22"/>
              </w:rPr>
            </w:pPr>
          </w:p>
        </w:tc>
        <w:tc>
          <w:tcPr>
            <w:tcW w:w="1984" w:type="dxa"/>
            <w:shd w:val="pct10" w:color="auto" w:fill="FFFFFF"/>
          </w:tcPr>
          <w:p w14:paraId="143DC8B6" w14:textId="77777777" w:rsidR="003436FE" w:rsidRPr="002B370E" w:rsidRDefault="003436FE">
            <w:pPr>
              <w:jc w:val="center"/>
              <w:rPr>
                <w:b/>
                <w:sz w:val="22"/>
                <w:szCs w:val="22"/>
              </w:rPr>
            </w:pPr>
            <w:r w:rsidRPr="002B370E">
              <w:rPr>
                <w:b/>
                <w:sz w:val="22"/>
                <w:szCs w:val="22"/>
              </w:rPr>
              <w:t>DATE</w:t>
            </w:r>
          </w:p>
        </w:tc>
        <w:tc>
          <w:tcPr>
            <w:tcW w:w="2127" w:type="dxa"/>
            <w:tcBorders>
              <w:bottom w:val="nil"/>
            </w:tcBorders>
            <w:shd w:val="pct10" w:color="auto" w:fill="FFFFFF"/>
          </w:tcPr>
          <w:p w14:paraId="21499EBF" w14:textId="24A025BD" w:rsidR="003436FE" w:rsidRPr="002B370E" w:rsidRDefault="003436FE">
            <w:pPr>
              <w:jc w:val="center"/>
              <w:rPr>
                <w:b/>
                <w:sz w:val="22"/>
                <w:szCs w:val="22"/>
              </w:rPr>
            </w:pPr>
            <w:r w:rsidRPr="002B370E">
              <w:rPr>
                <w:b/>
                <w:sz w:val="22"/>
                <w:szCs w:val="22"/>
              </w:rPr>
              <w:t>TIME</w:t>
            </w:r>
          </w:p>
        </w:tc>
      </w:tr>
      <w:tr w:rsidR="003436FE" w:rsidRPr="002B370E" w14:paraId="33404C0E" w14:textId="77777777" w:rsidTr="006D41EB">
        <w:tc>
          <w:tcPr>
            <w:tcW w:w="4253" w:type="dxa"/>
            <w:shd w:val="pct10" w:color="auto" w:fill="FFFFFF"/>
          </w:tcPr>
          <w:p w14:paraId="2A507476"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D78C3">
              <w:rPr>
                <w:b/>
                <w:sz w:val="22"/>
                <w:szCs w:val="22"/>
              </w:rPr>
              <w:t>c</w:t>
            </w:r>
            <w:r w:rsidRPr="002B370E">
              <w:rPr>
                <w:b/>
                <w:sz w:val="22"/>
                <w:szCs w:val="22"/>
              </w:rPr>
              <w:t xml:space="preserve">ontracting </w:t>
            </w:r>
            <w:r w:rsidR="00CD78C3">
              <w:rPr>
                <w:b/>
                <w:sz w:val="22"/>
                <w:szCs w:val="22"/>
              </w:rPr>
              <w:t>a</w:t>
            </w:r>
            <w:r w:rsidRPr="002B370E">
              <w:rPr>
                <w:b/>
                <w:sz w:val="22"/>
                <w:szCs w:val="22"/>
              </w:rPr>
              <w:t>uthority</w:t>
            </w:r>
          </w:p>
        </w:tc>
        <w:tc>
          <w:tcPr>
            <w:tcW w:w="1984" w:type="dxa"/>
          </w:tcPr>
          <w:p w14:paraId="423AF266" w14:textId="33BC34AF" w:rsidR="003436FE" w:rsidRPr="002B370E" w:rsidRDefault="00BF705D" w:rsidP="00694A32">
            <w:pPr>
              <w:spacing w:before="120" w:after="120"/>
              <w:jc w:val="center"/>
              <w:rPr>
                <w:sz w:val="22"/>
                <w:szCs w:val="22"/>
              </w:rPr>
            </w:pPr>
            <w:r>
              <w:rPr>
                <w:sz w:val="22"/>
                <w:szCs w:val="22"/>
              </w:rPr>
              <w:t>9.8.2024</w:t>
            </w:r>
          </w:p>
        </w:tc>
        <w:tc>
          <w:tcPr>
            <w:tcW w:w="2127" w:type="dxa"/>
          </w:tcPr>
          <w:p w14:paraId="6A720540" w14:textId="42396254" w:rsidR="003436FE" w:rsidRPr="002B370E" w:rsidRDefault="00B322BE">
            <w:pPr>
              <w:spacing w:before="120" w:after="120"/>
              <w:jc w:val="center"/>
              <w:rPr>
                <w:sz w:val="22"/>
                <w:szCs w:val="22"/>
              </w:rPr>
            </w:pPr>
            <w:r>
              <w:rPr>
                <w:sz w:val="22"/>
                <w:szCs w:val="22"/>
              </w:rPr>
              <w:t>-</w:t>
            </w:r>
          </w:p>
        </w:tc>
      </w:tr>
      <w:tr w:rsidR="003436FE" w:rsidRPr="002B370E" w14:paraId="1C3F8911" w14:textId="77777777" w:rsidTr="006D41EB">
        <w:tc>
          <w:tcPr>
            <w:tcW w:w="4253" w:type="dxa"/>
            <w:shd w:val="pct10" w:color="auto" w:fill="FFFFFF"/>
          </w:tcPr>
          <w:p w14:paraId="44B28CD4"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D78C3">
              <w:rPr>
                <w:b/>
                <w:sz w:val="22"/>
                <w:szCs w:val="22"/>
              </w:rPr>
              <w:t>c</w:t>
            </w:r>
            <w:r>
              <w:rPr>
                <w:b/>
                <w:sz w:val="22"/>
                <w:szCs w:val="22"/>
              </w:rPr>
              <w:t xml:space="preserve">ontracting </w:t>
            </w:r>
            <w:r w:rsidR="00CD78C3">
              <w:rPr>
                <w:b/>
                <w:sz w:val="22"/>
                <w:szCs w:val="22"/>
              </w:rPr>
              <w:t>a</w:t>
            </w:r>
            <w:r>
              <w:rPr>
                <w:b/>
                <w:sz w:val="22"/>
                <w:szCs w:val="22"/>
              </w:rPr>
              <w:t xml:space="preserve">uthority to issue </w:t>
            </w:r>
            <w:r w:rsidRPr="002B370E">
              <w:rPr>
                <w:b/>
                <w:sz w:val="22"/>
                <w:szCs w:val="22"/>
              </w:rPr>
              <w:t xml:space="preserve">clarification </w:t>
            </w:r>
          </w:p>
        </w:tc>
        <w:tc>
          <w:tcPr>
            <w:tcW w:w="1984" w:type="dxa"/>
          </w:tcPr>
          <w:p w14:paraId="6024CADA" w14:textId="42F1C10B" w:rsidR="003436FE" w:rsidRPr="002B370E" w:rsidRDefault="007A3907" w:rsidP="008E0D16">
            <w:pPr>
              <w:spacing w:before="120" w:after="120"/>
              <w:jc w:val="center"/>
              <w:rPr>
                <w:sz w:val="22"/>
                <w:szCs w:val="22"/>
              </w:rPr>
            </w:pPr>
            <w:r>
              <w:rPr>
                <w:sz w:val="22"/>
                <w:szCs w:val="22"/>
              </w:rPr>
              <w:t>22.8</w:t>
            </w:r>
            <w:r w:rsidR="008E0D16">
              <w:rPr>
                <w:sz w:val="22"/>
                <w:szCs w:val="22"/>
              </w:rPr>
              <w:t>.2024</w:t>
            </w:r>
          </w:p>
        </w:tc>
        <w:tc>
          <w:tcPr>
            <w:tcW w:w="2127" w:type="dxa"/>
          </w:tcPr>
          <w:p w14:paraId="7E87010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08F17514" w14:textId="77777777" w:rsidTr="006D41EB">
        <w:tc>
          <w:tcPr>
            <w:tcW w:w="4253" w:type="dxa"/>
            <w:shd w:val="pct10" w:color="auto" w:fill="FFFFFF"/>
          </w:tcPr>
          <w:p w14:paraId="4C7A2013"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84" w:type="dxa"/>
          </w:tcPr>
          <w:p w14:paraId="042D5D03" w14:textId="54A1D741" w:rsidR="003436FE" w:rsidRPr="00D931F0" w:rsidRDefault="00A70210">
            <w:pPr>
              <w:spacing w:before="120" w:after="120"/>
              <w:jc w:val="center"/>
              <w:rPr>
                <w:b/>
                <w:bCs/>
                <w:sz w:val="22"/>
                <w:szCs w:val="22"/>
              </w:rPr>
            </w:pPr>
            <w:r>
              <w:rPr>
                <w:b/>
                <w:bCs/>
                <w:sz w:val="22"/>
                <w:szCs w:val="22"/>
              </w:rPr>
              <w:t>30</w:t>
            </w:r>
            <w:r w:rsidR="00030C4C" w:rsidRPr="00D931F0">
              <w:rPr>
                <w:b/>
                <w:bCs/>
                <w:sz w:val="22"/>
                <w:szCs w:val="22"/>
              </w:rPr>
              <w:t>.</w:t>
            </w:r>
            <w:r>
              <w:rPr>
                <w:b/>
                <w:bCs/>
                <w:sz w:val="22"/>
                <w:szCs w:val="22"/>
              </w:rPr>
              <w:t>8</w:t>
            </w:r>
            <w:r w:rsidR="008E0D16" w:rsidRPr="00D931F0">
              <w:rPr>
                <w:b/>
                <w:bCs/>
                <w:sz w:val="22"/>
                <w:szCs w:val="22"/>
              </w:rPr>
              <w:t>.2024</w:t>
            </w:r>
          </w:p>
        </w:tc>
        <w:tc>
          <w:tcPr>
            <w:tcW w:w="2127" w:type="dxa"/>
          </w:tcPr>
          <w:p w14:paraId="5B55E2FA" w14:textId="76FBD993" w:rsidR="003436FE" w:rsidRPr="00D931F0" w:rsidRDefault="008E0D16">
            <w:pPr>
              <w:spacing w:before="120" w:after="120"/>
              <w:jc w:val="center"/>
              <w:rPr>
                <w:b/>
                <w:bCs/>
                <w:sz w:val="22"/>
                <w:szCs w:val="22"/>
              </w:rPr>
            </w:pPr>
            <w:r w:rsidRPr="00D931F0">
              <w:rPr>
                <w:b/>
                <w:bCs/>
                <w:sz w:val="22"/>
                <w:szCs w:val="22"/>
              </w:rPr>
              <w:t>1</w:t>
            </w:r>
            <w:r w:rsidR="007F040C">
              <w:rPr>
                <w:b/>
                <w:bCs/>
                <w:sz w:val="22"/>
                <w:szCs w:val="22"/>
              </w:rPr>
              <w:t>2</w:t>
            </w:r>
            <w:r w:rsidRPr="00D931F0">
              <w:rPr>
                <w:b/>
                <w:bCs/>
                <w:sz w:val="22"/>
                <w:szCs w:val="22"/>
              </w:rPr>
              <w:t>:00</w:t>
            </w:r>
          </w:p>
        </w:tc>
      </w:tr>
      <w:tr w:rsidR="003436FE" w:rsidRPr="002B370E" w14:paraId="060F369D" w14:textId="77777777" w:rsidTr="006D41EB">
        <w:tc>
          <w:tcPr>
            <w:tcW w:w="4253" w:type="dxa"/>
            <w:shd w:val="pct10" w:color="auto" w:fill="FFFFFF"/>
          </w:tcPr>
          <w:p w14:paraId="26942375"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84" w:type="dxa"/>
          </w:tcPr>
          <w:p w14:paraId="1C211839" w14:textId="488C2267" w:rsidR="003436FE" w:rsidRPr="002B370E" w:rsidRDefault="004A20C2">
            <w:pPr>
              <w:spacing w:before="120" w:after="120"/>
              <w:jc w:val="center"/>
              <w:rPr>
                <w:sz w:val="22"/>
                <w:szCs w:val="22"/>
              </w:rPr>
            </w:pPr>
            <w:r>
              <w:rPr>
                <w:sz w:val="22"/>
                <w:szCs w:val="22"/>
              </w:rPr>
              <w:t>7.9</w:t>
            </w:r>
            <w:r w:rsidR="005E31F4">
              <w:rPr>
                <w:sz w:val="22"/>
                <w:szCs w:val="22"/>
              </w:rPr>
              <w:t>.2024</w:t>
            </w:r>
          </w:p>
        </w:tc>
        <w:tc>
          <w:tcPr>
            <w:tcW w:w="2127" w:type="dxa"/>
          </w:tcPr>
          <w:p w14:paraId="3CAAF895"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6426BF85" w14:textId="77777777" w:rsidTr="006D41EB">
        <w:tc>
          <w:tcPr>
            <w:tcW w:w="4253" w:type="dxa"/>
            <w:shd w:val="pct10" w:color="auto" w:fill="FFFFFF"/>
          </w:tcPr>
          <w:p w14:paraId="10AEC748" w14:textId="77777777" w:rsidR="003436FE" w:rsidRPr="002B370E" w:rsidRDefault="003436FE">
            <w:pPr>
              <w:spacing w:before="120" w:after="120"/>
              <w:rPr>
                <w:b/>
                <w:sz w:val="22"/>
                <w:szCs w:val="22"/>
              </w:rPr>
            </w:pPr>
            <w:r w:rsidRPr="002B370E">
              <w:rPr>
                <w:b/>
                <w:sz w:val="22"/>
                <w:szCs w:val="22"/>
              </w:rPr>
              <w:t xml:space="preserve">Notification of award </w:t>
            </w:r>
          </w:p>
        </w:tc>
        <w:tc>
          <w:tcPr>
            <w:tcW w:w="1984" w:type="dxa"/>
          </w:tcPr>
          <w:p w14:paraId="1C1FC902" w14:textId="2CC7D499" w:rsidR="003436FE" w:rsidRPr="002B370E" w:rsidRDefault="004A20C2">
            <w:pPr>
              <w:spacing w:before="120" w:after="120"/>
              <w:jc w:val="center"/>
              <w:rPr>
                <w:sz w:val="22"/>
                <w:szCs w:val="22"/>
              </w:rPr>
            </w:pPr>
            <w:r>
              <w:rPr>
                <w:sz w:val="22"/>
                <w:szCs w:val="22"/>
              </w:rPr>
              <w:t>10.9</w:t>
            </w:r>
            <w:r w:rsidR="005E31F4">
              <w:rPr>
                <w:sz w:val="22"/>
                <w:szCs w:val="22"/>
              </w:rPr>
              <w:t>.2024</w:t>
            </w:r>
          </w:p>
        </w:tc>
        <w:tc>
          <w:tcPr>
            <w:tcW w:w="2127" w:type="dxa"/>
          </w:tcPr>
          <w:p w14:paraId="0A6F1FE1"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798300D6" w14:textId="77777777" w:rsidTr="006D41EB">
        <w:tc>
          <w:tcPr>
            <w:tcW w:w="4253" w:type="dxa"/>
            <w:shd w:val="pct10" w:color="auto" w:fill="FFFFFF"/>
          </w:tcPr>
          <w:p w14:paraId="3D8E47C7" w14:textId="77777777" w:rsidR="003436FE" w:rsidRPr="002B370E" w:rsidRDefault="003436FE">
            <w:pPr>
              <w:spacing w:before="120" w:after="120"/>
              <w:rPr>
                <w:b/>
                <w:sz w:val="22"/>
                <w:szCs w:val="22"/>
              </w:rPr>
            </w:pPr>
            <w:r w:rsidRPr="002B370E">
              <w:rPr>
                <w:b/>
                <w:sz w:val="22"/>
                <w:szCs w:val="22"/>
              </w:rPr>
              <w:t>Contract signature</w:t>
            </w:r>
          </w:p>
        </w:tc>
        <w:tc>
          <w:tcPr>
            <w:tcW w:w="1984" w:type="dxa"/>
          </w:tcPr>
          <w:p w14:paraId="16647DCE" w14:textId="4305B98F" w:rsidR="003436FE" w:rsidRPr="002B370E" w:rsidRDefault="00D23409">
            <w:pPr>
              <w:spacing w:before="120" w:after="120"/>
              <w:jc w:val="center"/>
              <w:rPr>
                <w:sz w:val="22"/>
                <w:szCs w:val="22"/>
              </w:rPr>
            </w:pPr>
            <w:r>
              <w:rPr>
                <w:sz w:val="22"/>
                <w:szCs w:val="22"/>
              </w:rPr>
              <w:t>11</w:t>
            </w:r>
            <w:r w:rsidR="005E31F4">
              <w:rPr>
                <w:sz w:val="22"/>
                <w:szCs w:val="22"/>
              </w:rPr>
              <w:t>.</w:t>
            </w:r>
            <w:r w:rsidR="00D90E7F">
              <w:rPr>
                <w:sz w:val="22"/>
                <w:szCs w:val="22"/>
              </w:rPr>
              <w:t>9</w:t>
            </w:r>
            <w:r w:rsidR="005E31F4">
              <w:rPr>
                <w:sz w:val="22"/>
                <w:szCs w:val="22"/>
              </w:rPr>
              <w:t>.2024</w:t>
            </w:r>
          </w:p>
        </w:tc>
        <w:tc>
          <w:tcPr>
            <w:tcW w:w="2127" w:type="dxa"/>
          </w:tcPr>
          <w:p w14:paraId="283AF984"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31958234" w14:textId="77777777" w:rsidTr="006D41EB">
        <w:tc>
          <w:tcPr>
            <w:tcW w:w="4253" w:type="dxa"/>
            <w:shd w:val="pct10" w:color="auto" w:fill="FFFFFF"/>
          </w:tcPr>
          <w:p w14:paraId="31C40150" w14:textId="77777777"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84" w:type="dxa"/>
          </w:tcPr>
          <w:p w14:paraId="47731F5F" w14:textId="6C4AADEA" w:rsidR="003436FE" w:rsidRPr="002B370E" w:rsidRDefault="00D23409">
            <w:pPr>
              <w:spacing w:before="120" w:after="120"/>
              <w:jc w:val="center"/>
              <w:rPr>
                <w:sz w:val="22"/>
                <w:szCs w:val="22"/>
              </w:rPr>
            </w:pPr>
            <w:r>
              <w:rPr>
                <w:sz w:val="22"/>
                <w:szCs w:val="22"/>
              </w:rPr>
              <w:t>12</w:t>
            </w:r>
            <w:r w:rsidR="000F396A">
              <w:rPr>
                <w:sz w:val="22"/>
                <w:szCs w:val="22"/>
              </w:rPr>
              <w:t>.</w:t>
            </w:r>
            <w:r w:rsidR="00D90E7F">
              <w:rPr>
                <w:sz w:val="22"/>
                <w:szCs w:val="22"/>
              </w:rPr>
              <w:t>9</w:t>
            </w:r>
            <w:r w:rsidR="000F396A">
              <w:rPr>
                <w:sz w:val="22"/>
                <w:szCs w:val="22"/>
              </w:rPr>
              <w:t>.2024</w:t>
            </w:r>
          </w:p>
        </w:tc>
        <w:tc>
          <w:tcPr>
            <w:tcW w:w="2127" w:type="dxa"/>
          </w:tcPr>
          <w:p w14:paraId="26875A07" w14:textId="77777777" w:rsidR="003436FE" w:rsidRPr="002B370E" w:rsidRDefault="003436FE">
            <w:pPr>
              <w:spacing w:before="120" w:after="120"/>
              <w:jc w:val="center"/>
              <w:rPr>
                <w:sz w:val="22"/>
                <w:szCs w:val="22"/>
              </w:rPr>
            </w:pPr>
            <w:r w:rsidRPr="002B370E">
              <w:rPr>
                <w:sz w:val="22"/>
                <w:szCs w:val="22"/>
              </w:rPr>
              <w:t>-</w:t>
            </w:r>
          </w:p>
        </w:tc>
      </w:tr>
    </w:tbl>
    <w:p w14:paraId="4F7D1C2F" w14:textId="77777777"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B15D53">
        <w:rPr>
          <w:b/>
          <w:sz w:val="24"/>
          <w:szCs w:val="24"/>
        </w:rPr>
        <w:t>,</w:t>
      </w:r>
      <w:r w:rsidR="00840772">
        <w:rPr>
          <w:b/>
          <w:sz w:val="24"/>
          <w:szCs w:val="24"/>
        </w:rPr>
        <w:t xml:space="preserve"> </w:t>
      </w:r>
      <w:r w:rsidR="007E7D2E">
        <w:rPr>
          <w:b/>
          <w:sz w:val="24"/>
          <w:szCs w:val="24"/>
        </w:rPr>
        <w:t xml:space="preserve">experts and </w:t>
      </w:r>
      <w:r w:rsidRPr="002B370E">
        <w:rPr>
          <w:b/>
          <w:sz w:val="24"/>
          <w:szCs w:val="24"/>
        </w:rPr>
        <w:t>subcontracting</w:t>
      </w:r>
      <w:bookmarkEnd w:id="1"/>
    </w:p>
    <w:p w14:paraId="46FCDD9B" w14:textId="2A5FA1A7" w:rsidR="00A1520C" w:rsidRPr="00A1520C" w:rsidRDefault="003436FE" w:rsidP="00A1520C">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Participation in this tender procedure is open to</w:t>
      </w:r>
      <w:r w:rsidR="00A1520C">
        <w:rPr>
          <w:sz w:val="22"/>
          <w:szCs w:val="22"/>
        </w:rPr>
        <w:t xml:space="preserve"> all </w:t>
      </w:r>
      <w:r w:rsidR="00A1520C" w:rsidRPr="00A1520C">
        <w:rPr>
          <w:sz w:val="22"/>
          <w:szCs w:val="22"/>
        </w:rPr>
        <w:t xml:space="preserve">Natural or legal persons that </w:t>
      </w:r>
      <w:proofErr w:type="spellStart"/>
      <w:r w:rsidR="00A1520C" w:rsidRPr="00A1520C">
        <w:rPr>
          <w:sz w:val="22"/>
          <w:szCs w:val="22"/>
        </w:rPr>
        <w:t>full</w:t>
      </w:r>
      <w:r w:rsidR="001D6D6E">
        <w:rPr>
          <w:sz w:val="22"/>
          <w:szCs w:val="22"/>
        </w:rPr>
        <w:t>fill</w:t>
      </w:r>
      <w:proofErr w:type="spellEnd"/>
      <w:r w:rsidR="00A1520C" w:rsidRPr="00A1520C">
        <w:rPr>
          <w:sz w:val="22"/>
          <w:szCs w:val="22"/>
        </w:rPr>
        <w:t xml:space="preserve"> the above </w:t>
      </w:r>
      <w:proofErr w:type="gramStart"/>
      <w:r w:rsidR="00A1520C" w:rsidRPr="00A1520C">
        <w:rPr>
          <w:sz w:val="22"/>
          <w:szCs w:val="22"/>
        </w:rPr>
        <w:t>criteria :</w:t>
      </w:r>
      <w:proofErr w:type="gramEnd"/>
    </w:p>
    <w:p w14:paraId="30915C90" w14:textId="22982A23" w:rsidR="00A1520C" w:rsidRDefault="00D80CD0" w:rsidP="00A1520C">
      <w:pPr>
        <w:pStyle w:val="BodyText"/>
        <w:numPr>
          <w:ilvl w:val="0"/>
          <w:numId w:val="5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H</w:t>
      </w:r>
      <w:r w:rsidR="00A1520C" w:rsidRPr="00D730E6">
        <w:rPr>
          <w:sz w:val="22"/>
          <w:szCs w:val="22"/>
        </w:rPr>
        <w:t>old relevant licenses for preparing EE audits applicable to Albanian laws</w:t>
      </w:r>
      <w:r w:rsidR="008B5D67">
        <w:rPr>
          <w:sz w:val="22"/>
          <w:szCs w:val="22"/>
        </w:rPr>
        <w:t xml:space="preserve"> </w:t>
      </w:r>
    </w:p>
    <w:p w14:paraId="5240B432" w14:textId="1C070C72" w:rsidR="00A1520C" w:rsidRDefault="00A1520C" w:rsidP="00A1520C">
      <w:pPr>
        <w:pStyle w:val="BodyText"/>
        <w:numPr>
          <w:ilvl w:val="0"/>
          <w:numId w:val="5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1520C">
        <w:rPr>
          <w:sz w:val="22"/>
          <w:szCs w:val="22"/>
        </w:rPr>
        <w:t>Have at least 10- ten years of relevant work experience as an Energy Audit an</w:t>
      </w:r>
      <w:r>
        <w:rPr>
          <w:sz w:val="22"/>
          <w:szCs w:val="22"/>
        </w:rPr>
        <w:t xml:space="preserve">d </w:t>
      </w:r>
      <w:r w:rsidRPr="00A1520C">
        <w:rPr>
          <w:sz w:val="22"/>
          <w:szCs w:val="22"/>
        </w:rPr>
        <w:t>Energy Efficiency expert</w:t>
      </w:r>
    </w:p>
    <w:p w14:paraId="64C6E9E9" w14:textId="77777777" w:rsidR="00A1520C" w:rsidRDefault="00A1520C" w:rsidP="00A1520C">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933"/>
        <w:jc w:val="both"/>
        <w:rPr>
          <w:sz w:val="22"/>
          <w:szCs w:val="22"/>
        </w:rPr>
      </w:pPr>
      <w:r>
        <w:rPr>
          <w:sz w:val="22"/>
          <w:szCs w:val="22"/>
        </w:rPr>
        <w:t>In addition:</w:t>
      </w:r>
    </w:p>
    <w:p w14:paraId="0A710C5D" w14:textId="38774049" w:rsidR="00A1520C" w:rsidRDefault="00D80CD0" w:rsidP="00A1520C">
      <w:pPr>
        <w:pStyle w:val="BodyText"/>
        <w:numPr>
          <w:ilvl w:val="0"/>
          <w:numId w:val="5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P</w:t>
      </w:r>
      <w:r w:rsidR="00A1520C" w:rsidRPr="00D730E6">
        <w:rPr>
          <w:sz w:val="22"/>
          <w:szCs w:val="22"/>
        </w:rPr>
        <w:t>ossession of a design license in the field of energy production or auditing constitutes an asset</w:t>
      </w:r>
      <w:r w:rsidR="00A1520C">
        <w:rPr>
          <w:sz w:val="22"/>
          <w:szCs w:val="22"/>
        </w:rPr>
        <w:t>.</w:t>
      </w:r>
    </w:p>
    <w:p w14:paraId="7CC24164" w14:textId="164956DE" w:rsidR="00A1520C" w:rsidRDefault="00A1520C" w:rsidP="00A1520C">
      <w:pPr>
        <w:pStyle w:val="BodyText"/>
        <w:numPr>
          <w:ilvl w:val="0"/>
          <w:numId w:val="5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D730E6">
        <w:rPr>
          <w:sz w:val="22"/>
          <w:szCs w:val="22"/>
        </w:rPr>
        <w:t>Previous experience with international or local organizations or institutions and/or with EU or other donor-funded projects will be an asset</w:t>
      </w:r>
      <w:r w:rsidR="004463B0">
        <w:rPr>
          <w:sz w:val="22"/>
          <w:szCs w:val="22"/>
        </w:rPr>
        <w:t>.</w:t>
      </w:r>
    </w:p>
    <w:p w14:paraId="7FECEFA8" w14:textId="55773171" w:rsidR="003436FE" w:rsidRPr="00A1520C" w:rsidRDefault="00A1520C" w:rsidP="00A1520C">
      <w:pPr>
        <w:pStyle w:val="BodyText"/>
        <w:numPr>
          <w:ilvl w:val="0"/>
          <w:numId w:val="5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1520C">
        <w:rPr>
          <w:sz w:val="22"/>
          <w:szCs w:val="22"/>
        </w:rPr>
        <w:t xml:space="preserve">Good coordination skills and a high sense of responsibility (up to two reference letters). </w:t>
      </w:r>
      <w:r w:rsidR="000E6A9C" w:rsidRPr="00A1520C">
        <w:rPr>
          <w:sz w:val="22"/>
          <w:szCs w:val="22"/>
        </w:rPr>
        <w:t xml:space="preserve"> </w:t>
      </w:r>
    </w:p>
    <w:p w14:paraId="1E47F735" w14:textId="1696342E" w:rsidR="003A3451" w:rsidRDefault="00A62E0D" w:rsidP="00A1520C">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67" w:hanging="283"/>
        <w:jc w:val="both"/>
        <w:rPr>
          <w:sz w:val="22"/>
          <w:szCs w:val="22"/>
        </w:rPr>
      </w:pPr>
      <w:r w:rsidRPr="00A62E0D">
        <w:rPr>
          <w:sz w:val="22"/>
          <w:szCs w:val="22"/>
        </w:rPr>
        <w:t xml:space="preserve">For the purpose of implementing the contract, subcontracting is </w:t>
      </w:r>
      <w:r w:rsidR="00A1520C">
        <w:rPr>
          <w:sz w:val="22"/>
          <w:szCs w:val="22"/>
        </w:rPr>
        <w:t>not allowed</w:t>
      </w:r>
      <w:r w:rsidR="003436FE" w:rsidRPr="00B748D9">
        <w:rPr>
          <w:sz w:val="22"/>
          <w:szCs w:val="22"/>
        </w:rPr>
        <w:t xml:space="preserve">. </w:t>
      </w:r>
    </w:p>
    <w:p w14:paraId="1B5C7EA9" w14:textId="77777777" w:rsidR="004463B0" w:rsidRPr="00A1520C" w:rsidRDefault="004463B0" w:rsidP="004463B0">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67"/>
        <w:jc w:val="both"/>
        <w:rPr>
          <w:sz w:val="22"/>
          <w:szCs w:val="22"/>
        </w:rPr>
      </w:pPr>
    </w:p>
    <w:p w14:paraId="49E36007" w14:textId="77777777" w:rsidR="003436FE" w:rsidRPr="002B370E" w:rsidRDefault="003436FE" w:rsidP="003436FE">
      <w:pPr>
        <w:widowControl w:val="0"/>
        <w:numPr>
          <w:ilvl w:val="0"/>
          <w:numId w:val="26"/>
        </w:numPr>
        <w:spacing w:before="120" w:after="120"/>
        <w:jc w:val="both"/>
        <w:rPr>
          <w:b/>
          <w:sz w:val="24"/>
          <w:szCs w:val="24"/>
        </w:rPr>
      </w:pPr>
      <w:r w:rsidRPr="002B370E">
        <w:rPr>
          <w:b/>
          <w:sz w:val="24"/>
          <w:szCs w:val="24"/>
        </w:rPr>
        <w:lastRenderedPageBreak/>
        <w:t>Content of tenders</w:t>
      </w:r>
    </w:p>
    <w:p w14:paraId="03A66D44" w14:textId="3AE3BD64" w:rsidR="00A30058" w:rsidRPr="004C402F" w:rsidRDefault="003436FE" w:rsidP="003F033F">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D78C3">
        <w:rPr>
          <w:sz w:val="22"/>
          <w:szCs w:val="22"/>
          <w:lang w:val="en-GB"/>
        </w:rPr>
        <w:t>c</w:t>
      </w:r>
      <w:r w:rsidRPr="002B370E">
        <w:rPr>
          <w:sz w:val="22"/>
          <w:szCs w:val="22"/>
          <w:lang w:val="en-GB"/>
        </w:rPr>
        <w:t xml:space="preserve">ontracting </w:t>
      </w:r>
      <w:r w:rsidR="00CD78C3">
        <w:rPr>
          <w:sz w:val="22"/>
          <w:szCs w:val="22"/>
          <w:lang w:val="en-GB"/>
        </w:rPr>
        <w:t>a</w:t>
      </w:r>
      <w:r w:rsidRPr="002B370E">
        <w:rPr>
          <w:sz w:val="22"/>
          <w:szCs w:val="22"/>
          <w:lang w:val="en-GB"/>
        </w:rPr>
        <w:t xml:space="preserve">uthority must </w:t>
      </w:r>
      <w:r w:rsidRPr="004463B0">
        <w:rPr>
          <w:sz w:val="22"/>
          <w:szCs w:val="22"/>
          <w:lang w:val="en-GB"/>
        </w:rPr>
        <w:t>be written in English.</w:t>
      </w:r>
      <w:r w:rsidRPr="003F033F">
        <w:rPr>
          <w:sz w:val="22"/>
          <w:szCs w:val="22"/>
          <w:lang w:val="en-IE" w:bidi="kn-IN"/>
        </w:rPr>
        <w:t xml:space="preserve"> </w:t>
      </w:r>
    </w:p>
    <w:p w14:paraId="4CF9B6C7" w14:textId="348FDB64" w:rsidR="00285B8F" w:rsidRDefault="003436FE" w:rsidP="003436FE">
      <w:pPr>
        <w:widowControl w:val="0"/>
        <w:spacing w:before="120" w:after="120"/>
        <w:jc w:val="both"/>
        <w:rPr>
          <w:sz w:val="22"/>
          <w:szCs w:val="22"/>
        </w:rPr>
      </w:pPr>
      <w:r w:rsidRPr="004C402F">
        <w:rPr>
          <w:sz w:val="22"/>
          <w:szCs w:val="22"/>
        </w:rPr>
        <w:t xml:space="preserve">The tender must </w:t>
      </w:r>
      <w:r w:rsidR="005611F8" w:rsidRPr="004C402F">
        <w:rPr>
          <w:sz w:val="22"/>
          <w:szCs w:val="22"/>
        </w:rPr>
        <w:t>include</w:t>
      </w:r>
      <w:r w:rsidRPr="004C402F">
        <w:rPr>
          <w:sz w:val="22"/>
          <w:szCs w:val="22"/>
        </w:rPr>
        <w:t xml:space="preserve"> a </w:t>
      </w:r>
      <w:r w:rsidR="006D6595" w:rsidRPr="004C402F">
        <w:rPr>
          <w:sz w:val="22"/>
          <w:szCs w:val="22"/>
        </w:rPr>
        <w:t>t</w:t>
      </w:r>
      <w:r w:rsidRPr="004C402F">
        <w:rPr>
          <w:sz w:val="22"/>
          <w:szCs w:val="22"/>
        </w:rPr>
        <w:t xml:space="preserve">echnical offer and a </w:t>
      </w:r>
      <w:r w:rsidR="006D6595" w:rsidRPr="004C402F">
        <w:rPr>
          <w:sz w:val="22"/>
          <w:szCs w:val="22"/>
        </w:rPr>
        <w:t>f</w:t>
      </w:r>
      <w:r w:rsidRPr="004C402F">
        <w:rPr>
          <w:sz w:val="22"/>
          <w:szCs w:val="22"/>
        </w:rPr>
        <w:t>inancial offer, which must be submitted in separate envelopes</w:t>
      </w:r>
      <w:r w:rsidR="004C402F" w:rsidRPr="004C402F">
        <w:rPr>
          <w:sz w:val="22"/>
          <w:szCs w:val="22"/>
        </w:rPr>
        <w:t>.</w:t>
      </w:r>
    </w:p>
    <w:p w14:paraId="3E7832DD"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24441D08" w14:textId="707E190F" w:rsidR="003436FE" w:rsidRDefault="003436FE" w:rsidP="003436FE">
      <w:pPr>
        <w:widowControl w:val="0"/>
        <w:spacing w:before="120" w:after="120"/>
        <w:jc w:val="both"/>
        <w:rPr>
          <w:sz w:val="22"/>
          <w:szCs w:val="22"/>
        </w:rPr>
      </w:pPr>
      <w:r w:rsidRPr="002B370E">
        <w:rPr>
          <w:sz w:val="22"/>
          <w:szCs w:val="22"/>
        </w:rPr>
        <w:t xml:space="preserve">The Technical offer </w:t>
      </w:r>
      <w:r w:rsidR="001320C0">
        <w:rPr>
          <w:sz w:val="22"/>
          <w:szCs w:val="22"/>
        </w:rPr>
        <w:t xml:space="preserve">consists </w:t>
      </w:r>
      <w:proofErr w:type="gramStart"/>
      <w:r w:rsidR="001320C0">
        <w:rPr>
          <w:sz w:val="22"/>
          <w:szCs w:val="22"/>
        </w:rPr>
        <w:t xml:space="preserve">of </w:t>
      </w:r>
      <w:r w:rsidRPr="002B370E">
        <w:rPr>
          <w:sz w:val="22"/>
          <w:szCs w:val="22"/>
        </w:rPr>
        <w:t xml:space="preserve"> the</w:t>
      </w:r>
      <w:proofErr w:type="gramEnd"/>
      <w:r w:rsidRPr="002B370E">
        <w:rPr>
          <w:sz w:val="22"/>
          <w:szCs w:val="22"/>
        </w:rPr>
        <w:t xml:space="preserve"> documents</w:t>
      </w:r>
      <w:r w:rsidR="001320C0">
        <w:rPr>
          <w:sz w:val="22"/>
          <w:szCs w:val="22"/>
        </w:rPr>
        <w:t xml:space="preserve"> listed below.</w:t>
      </w:r>
    </w:p>
    <w:p w14:paraId="516F1AA8" w14:textId="51362A40" w:rsidR="000D14D4" w:rsidRPr="00FA348C" w:rsidRDefault="000D14D4" w:rsidP="003436FE">
      <w:pPr>
        <w:widowControl w:val="0"/>
        <w:spacing w:before="120" w:after="120"/>
        <w:jc w:val="both"/>
        <w:rPr>
          <w:b/>
          <w:sz w:val="22"/>
          <w:szCs w:val="22"/>
        </w:rPr>
      </w:pPr>
      <w:r w:rsidRPr="00FA348C">
        <w:rPr>
          <w:b/>
          <w:sz w:val="22"/>
          <w:szCs w:val="22"/>
        </w:rPr>
        <w:t xml:space="preserve">(a) </w:t>
      </w:r>
      <w:r w:rsidR="00FA348C">
        <w:rPr>
          <w:b/>
          <w:sz w:val="22"/>
          <w:szCs w:val="22"/>
        </w:rPr>
        <w:t>a</w:t>
      </w:r>
      <w:r w:rsidRPr="00FA348C">
        <w:rPr>
          <w:b/>
          <w:sz w:val="22"/>
          <w:szCs w:val="22"/>
        </w:rPr>
        <w:t>dministrative documents</w:t>
      </w:r>
    </w:p>
    <w:p w14:paraId="37533D8F" w14:textId="4A2420D7" w:rsidR="001F49DA" w:rsidRDefault="003C4D53" w:rsidP="003436FE">
      <w:pPr>
        <w:pStyle w:val="ListParagraph"/>
        <w:widowControl w:val="0"/>
        <w:numPr>
          <w:ilvl w:val="0"/>
          <w:numId w:val="56"/>
        </w:numPr>
        <w:spacing w:before="120" w:after="120"/>
        <w:jc w:val="both"/>
        <w:rPr>
          <w:sz w:val="22"/>
          <w:szCs w:val="22"/>
        </w:rPr>
      </w:pPr>
      <w:r w:rsidRPr="001F49DA">
        <w:rPr>
          <w:sz w:val="22"/>
          <w:szCs w:val="22"/>
        </w:rPr>
        <w:t>CV of the Applicant in EU format</w:t>
      </w:r>
      <w:r w:rsidR="001F49DA">
        <w:rPr>
          <w:sz w:val="22"/>
          <w:szCs w:val="22"/>
        </w:rPr>
        <w:t>, showing previous experience as requested in the TORs</w:t>
      </w:r>
    </w:p>
    <w:p w14:paraId="22C7A6CF" w14:textId="3C35A609" w:rsidR="001F49DA" w:rsidRDefault="009304D9" w:rsidP="00EC19B9">
      <w:pPr>
        <w:pStyle w:val="ListParagraph"/>
        <w:widowControl w:val="0"/>
        <w:numPr>
          <w:ilvl w:val="0"/>
          <w:numId w:val="56"/>
        </w:numPr>
        <w:spacing w:before="120" w:after="120"/>
        <w:jc w:val="both"/>
        <w:rPr>
          <w:sz w:val="22"/>
          <w:szCs w:val="22"/>
        </w:rPr>
      </w:pPr>
      <w:r w:rsidRPr="001F49DA">
        <w:rPr>
          <w:sz w:val="22"/>
          <w:szCs w:val="22"/>
        </w:rPr>
        <w:t>Extract for QKB/NBC</w:t>
      </w:r>
    </w:p>
    <w:p w14:paraId="42F52953" w14:textId="1202C445" w:rsidR="001F49DA" w:rsidRDefault="00086344" w:rsidP="00EC19B9">
      <w:pPr>
        <w:pStyle w:val="ListParagraph"/>
        <w:widowControl w:val="0"/>
        <w:numPr>
          <w:ilvl w:val="0"/>
          <w:numId w:val="56"/>
        </w:numPr>
        <w:spacing w:before="120" w:after="120"/>
        <w:jc w:val="both"/>
        <w:rPr>
          <w:sz w:val="22"/>
          <w:szCs w:val="22"/>
        </w:rPr>
      </w:pPr>
      <w:r>
        <w:rPr>
          <w:sz w:val="22"/>
          <w:szCs w:val="22"/>
        </w:rPr>
        <w:t>A copy</w:t>
      </w:r>
      <w:r w:rsidR="00F9672D">
        <w:rPr>
          <w:sz w:val="22"/>
          <w:szCs w:val="22"/>
        </w:rPr>
        <w:t xml:space="preserve"> of </w:t>
      </w:r>
      <w:r>
        <w:rPr>
          <w:sz w:val="22"/>
          <w:szCs w:val="22"/>
        </w:rPr>
        <w:t xml:space="preserve">the </w:t>
      </w:r>
      <w:r w:rsidR="00981EE4" w:rsidRPr="00981EE4">
        <w:rPr>
          <w:sz w:val="22"/>
          <w:szCs w:val="22"/>
        </w:rPr>
        <w:t>design license in the field of energy production or auditing constitutes</w:t>
      </w:r>
    </w:p>
    <w:p w14:paraId="24A7A3D1" w14:textId="62593279" w:rsidR="00C97673" w:rsidRDefault="00E61160" w:rsidP="00EC19B9">
      <w:pPr>
        <w:pStyle w:val="ListParagraph"/>
        <w:widowControl w:val="0"/>
        <w:numPr>
          <w:ilvl w:val="0"/>
          <w:numId w:val="56"/>
        </w:numPr>
        <w:spacing w:before="120" w:after="120"/>
        <w:jc w:val="both"/>
        <w:rPr>
          <w:sz w:val="22"/>
          <w:szCs w:val="22"/>
        </w:rPr>
      </w:pPr>
      <w:r>
        <w:rPr>
          <w:sz w:val="22"/>
          <w:szCs w:val="22"/>
        </w:rPr>
        <w:t xml:space="preserve">Proof </w:t>
      </w:r>
      <w:r w:rsidR="00086344">
        <w:rPr>
          <w:sz w:val="22"/>
          <w:szCs w:val="22"/>
        </w:rPr>
        <w:t>of</w:t>
      </w:r>
      <w:r>
        <w:rPr>
          <w:sz w:val="22"/>
          <w:szCs w:val="22"/>
        </w:rPr>
        <w:t xml:space="preserve"> p</w:t>
      </w:r>
      <w:r w:rsidRPr="00E61160">
        <w:rPr>
          <w:sz w:val="22"/>
          <w:szCs w:val="22"/>
        </w:rPr>
        <w:t>ossession of technical-professional equipment for performing energy audits</w:t>
      </w:r>
      <w:r>
        <w:rPr>
          <w:sz w:val="22"/>
          <w:szCs w:val="22"/>
        </w:rPr>
        <w:t xml:space="preserve">. </w:t>
      </w:r>
    </w:p>
    <w:p w14:paraId="641A8017" w14:textId="0DE06180" w:rsidR="001320C0" w:rsidRDefault="001320C0" w:rsidP="003436FE">
      <w:pPr>
        <w:widowControl w:val="0"/>
        <w:spacing w:before="120" w:after="120"/>
        <w:jc w:val="both"/>
        <w:rPr>
          <w:sz w:val="22"/>
          <w:szCs w:val="22"/>
        </w:rPr>
      </w:pPr>
      <w:r>
        <w:rPr>
          <w:sz w:val="22"/>
          <w:szCs w:val="22"/>
        </w:rPr>
        <w:t xml:space="preserve">The documents listed in point 1 to point 4 must be submitted within the deadline </w:t>
      </w:r>
      <w:r w:rsidR="002D1DBA">
        <w:rPr>
          <w:sz w:val="22"/>
          <w:szCs w:val="22"/>
        </w:rPr>
        <w:t>for submitting tenders.</w:t>
      </w:r>
    </w:p>
    <w:p w14:paraId="25804D8C" w14:textId="58EE7BE6" w:rsidR="00B302CF" w:rsidRPr="00B302CF" w:rsidRDefault="00B302CF" w:rsidP="00B302CF">
      <w:pPr>
        <w:widowControl w:val="0"/>
        <w:spacing w:before="120" w:after="120"/>
        <w:ind w:left="360"/>
        <w:jc w:val="both"/>
        <w:rPr>
          <w:sz w:val="22"/>
          <w:szCs w:val="22"/>
        </w:rPr>
      </w:pPr>
      <w:r>
        <w:rPr>
          <w:sz w:val="22"/>
          <w:szCs w:val="22"/>
        </w:rPr>
        <w:t xml:space="preserve">5. </w:t>
      </w:r>
      <w:r w:rsidRPr="00B302CF">
        <w:rPr>
          <w:sz w:val="22"/>
          <w:szCs w:val="22"/>
        </w:rPr>
        <w:t>Copy of Diplomas, Certificates, and Letters of Reference supporting the experience and qualifications declared on the CV, shall be requested to be submitted only to the best-ranked candidate</w:t>
      </w:r>
      <w:r>
        <w:rPr>
          <w:sz w:val="22"/>
          <w:szCs w:val="22"/>
        </w:rPr>
        <w:t>.</w:t>
      </w:r>
    </w:p>
    <w:p w14:paraId="4D126ADA" w14:textId="1B0E1B1C" w:rsidR="003436FE" w:rsidRPr="002B370E" w:rsidRDefault="00FA348C" w:rsidP="00011C58">
      <w:pPr>
        <w:spacing w:before="120" w:after="120"/>
        <w:jc w:val="both"/>
        <w:rPr>
          <w:sz w:val="22"/>
          <w:szCs w:val="22"/>
        </w:rPr>
      </w:pPr>
      <w:r>
        <w:rPr>
          <w:b/>
          <w:sz w:val="22"/>
          <w:szCs w:val="22"/>
        </w:rPr>
        <w:t xml:space="preserve">(b) </w:t>
      </w:r>
      <w:r w:rsidR="003436FE" w:rsidRPr="002B370E">
        <w:rPr>
          <w:b/>
          <w:sz w:val="22"/>
          <w:szCs w:val="22"/>
        </w:rPr>
        <w:t>Organisation and methodology</w:t>
      </w:r>
      <w:r w:rsidR="003436FE" w:rsidRPr="002B370E">
        <w:rPr>
          <w:sz w:val="22"/>
          <w:szCs w:val="22"/>
        </w:rPr>
        <w:t xml:space="preserve"> (will become Annex I </w:t>
      </w:r>
      <w:r w:rsidR="003436FE">
        <w:rPr>
          <w:sz w:val="22"/>
          <w:szCs w:val="22"/>
        </w:rPr>
        <w:t>t</w:t>
      </w:r>
      <w:r w:rsidR="003436FE" w:rsidRPr="002B370E">
        <w:rPr>
          <w:sz w:val="22"/>
          <w:szCs w:val="22"/>
        </w:rPr>
        <w:t xml:space="preserve">o the contract), to be drawn up by the tenderer using the format in Annex I </w:t>
      </w:r>
      <w:r w:rsidR="003436FE">
        <w:rPr>
          <w:sz w:val="22"/>
          <w:szCs w:val="22"/>
        </w:rPr>
        <w:t>t</w:t>
      </w:r>
      <w:r w:rsidR="003436FE" w:rsidRPr="002B370E">
        <w:rPr>
          <w:sz w:val="22"/>
          <w:szCs w:val="22"/>
        </w:rPr>
        <w:t>o the draft contract.</w:t>
      </w:r>
    </w:p>
    <w:p w14:paraId="569A0E00" w14:textId="6C8964F5" w:rsidR="003436FE" w:rsidRPr="002B370E" w:rsidRDefault="003436FE" w:rsidP="001D6D6E">
      <w:pPr>
        <w:spacing w:before="120" w:after="120"/>
        <w:jc w:val="both"/>
        <w:rPr>
          <w:sz w:val="22"/>
          <w:szCs w:val="22"/>
        </w:rPr>
      </w:pPr>
      <w:r w:rsidRPr="00866475">
        <w:rPr>
          <w:sz w:val="22"/>
          <w:szCs w:val="22"/>
        </w:rPr>
        <w:t xml:space="preserve">The ‘Estimated number of working days’ worksheet (Annex </w:t>
      </w:r>
      <w:r w:rsidR="00866475" w:rsidRPr="00866475">
        <w:rPr>
          <w:sz w:val="22"/>
          <w:szCs w:val="22"/>
        </w:rPr>
        <w:t>I</w:t>
      </w:r>
      <w:r w:rsidR="00986FC4">
        <w:rPr>
          <w:sz w:val="22"/>
          <w:szCs w:val="22"/>
        </w:rPr>
        <w:t>I</w:t>
      </w:r>
      <w:r w:rsidR="00866475" w:rsidRPr="00866475">
        <w:rPr>
          <w:sz w:val="22"/>
          <w:szCs w:val="22"/>
        </w:rPr>
        <w:t>I</w:t>
      </w:r>
      <w:r w:rsidRPr="00866475">
        <w:rPr>
          <w:sz w:val="22"/>
          <w:szCs w:val="22"/>
        </w:rPr>
        <w:t xml:space="preserve">) must be included in the </w:t>
      </w:r>
      <w:r w:rsidR="006D6595" w:rsidRPr="00866475">
        <w:rPr>
          <w:sz w:val="22"/>
          <w:szCs w:val="22"/>
        </w:rPr>
        <w:t>o</w:t>
      </w:r>
      <w:r w:rsidRPr="00866475">
        <w:rPr>
          <w:sz w:val="22"/>
          <w:szCs w:val="22"/>
        </w:rPr>
        <w:t>rganisation and methodology</w:t>
      </w:r>
      <w:r w:rsidR="004463B0">
        <w:rPr>
          <w:sz w:val="22"/>
          <w:szCs w:val="22"/>
        </w:rPr>
        <w:t>.</w:t>
      </w:r>
    </w:p>
    <w:p w14:paraId="6B9276AD"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04DE5AF8" w14:textId="77777777" w:rsidR="007501CA" w:rsidRPr="00B6364B" w:rsidRDefault="003436FE" w:rsidP="00DB30DE">
      <w:pPr>
        <w:shd w:val="clear" w:color="auto" w:fill="FFFFFF"/>
        <w:spacing w:before="120" w:after="120"/>
        <w:jc w:val="both"/>
        <w:rPr>
          <w:sz w:val="22"/>
          <w:szCs w:val="22"/>
        </w:rPr>
      </w:pPr>
      <w:r w:rsidRPr="00B6364B">
        <w:rPr>
          <w:sz w:val="22"/>
          <w:szCs w:val="22"/>
        </w:rPr>
        <w:t xml:space="preserve">The </w:t>
      </w:r>
      <w:r w:rsidR="006D6595" w:rsidRPr="00B6364B">
        <w:rPr>
          <w:sz w:val="22"/>
          <w:szCs w:val="22"/>
        </w:rPr>
        <w:t>f</w:t>
      </w:r>
      <w:r w:rsidRPr="00B6364B">
        <w:rPr>
          <w:sz w:val="22"/>
          <w:szCs w:val="22"/>
        </w:rPr>
        <w:t>inancial offer must be presented</w:t>
      </w:r>
      <w:r w:rsidR="007501CA" w:rsidRPr="00B6364B">
        <w:rPr>
          <w:sz w:val="22"/>
          <w:szCs w:val="22"/>
        </w:rPr>
        <w:t>:</w:t>
      </w:r>
    </w:p>
    <w:p w14:paraId="4285BEF0" w14:textId="3E4115C8" w:rsidR="007501CA" w:rsidRPr="00B6364B" w:rsidRDefault="007501CA" w:rsidP="007501CA">
      <w:pPr>
        <w:numPr>
          <w:ilvl w:val="0"/>
          <w:numId w:val="37"/>
        </w:numPr>
        <w:shd w:val="clear" w:color="auto" w:fill="FFFFFF"/>
        <w:tabs>
          <w:tab w:val="clear" w:pos="360"/>
        </w:tabs>
        <w:spacing w:before="120" w:after="120"/>
        <w:ind w:left="426" w:hanging="426"/>
        <w:jc w:val="both"/>
        <w:rPr>
          <w:sz w:val="22"/>
          <w:szCs w:val="22"/>
        </w:rPr>
      </w:pPr>
      <w:r w:rsidRPr="00B6364B">
        <w:rPr>
          <w:sz w:val="22"/>
          <w:szCs w:val="22"/>
        </w:rPr>
        <w:t xml:space="preserve">As </w:t>
      </w:r>
      <w:proofErr w:type="gramStart"/>
      <w:r w:rsidRPr="00B6364B">
        <w:rPr>
          <w:sz w:val="22"/>
          <w:szCs w:val="22"/>
        </w:rPr>
        <w:t>a  daily</w:t>
      </w:r>
      <w:proofErr w:type="gramEnd"/>
      <w:r w:rsidRPr="00B6364B">
        <w:rPr>
          <w:sz w:val="22"/>
          <w:szCs w:val="22"/>
        </w:rPr>
        <w:t xml:space="preserve"> fee </w:t>
      </w:r>
    </w:p>
    <w:p w14:paraId="7268F81F" w14:textId="77777777" w:rsidR="007501CA" w:rsidRPr="00B6364B" w:rsidRDefault="007501CA" w:rsidP="007501CA">
      <w:pPr>
        <w:numPr>
          <w:ilvl w:val="0"/>
          <w:numId w:val="37"/>
        </w:numPr>
        <w:shd w:val="clear" w:color="auto" w:fill="FFFFFF"/>
        <w:tabs>
          <w:tab w:val="clear" w:pos="360"/>
        </w:tabs>
        <w:spacing w:before="120" w:after="120"/>
        <w:ind w:left="426" w:hanging="426"/>
        <w:jc w:val="both"/>
        <w:rPr>
          <w:sz w:val="22"/>
          <w:szCs w:val="22"/>
        </w:rPr>
      </w:pPr>
      <w:proofErr w:type="gramStart"/>
      <w:r w:rsidRPr="00B6364B">
        <w:rPr>
          <w:sz w:val="22"/>
          <w:szCs w:val="22"/>
        </w:rPr>
        <w:t xml:space="preserve">currency </w:t>
      </w:r>
      <w:r w:rsidR="003436FE" w:rsidRPr="00B6364B">
        <w:rPr>
          <w:sz w:val="22"/>
          <w:szCs w:val="22"/>
        </w:rPr>
        <w:t xml:space="preserve"> </w:t>
      </w:r>
      <w:r w:rsidR="009D25DC" w:rsidRPr="00B6364B">
        <w:rPr>
          <w:sz w:val="22"/>
          <w:szCs w:val="22"/>
        </w:rPr>
        <w:t>[</w:t>
      </w:r>
      <w:proofErr w:type="gramEnd"/>
      <w:r w:rsidR="003436FE" w:rsidRPr="00B6364B">
        <w:rPr>
          <w:sz w:val="22"/>
          <w:szCs w:val="22"/>
        </w:rPr>
        <w:t>Euro</w:t>
      </w:r>
      <w:r w:rsidR="009D25DC" w:rsidRPr="00B6364B">
        <w:rPr>
          <w:sz w:val="22"/>
          <w:szCs w:val="22"/>
        </w:rPr>
        <w:t xml:space="preserve">] </w:t>
      </w:r>
    </w:p>
    <w:p w14:paraId="3294852B" w14:textId="1E413E75" w:rsidR="007501CA" w:rsidRPr="00B6364B" w:rsidRDefault="002E4D13" w:rsidP="007501CA">
      <w:pPr>
        <w:numPr>
          <w:ilvl w:val="0"/>
          <w:numId w:val="37"/>
        </w:numPr>
        <w:shd w:val="clear" w:color="auto" w:fill="FFFFFF"/>
        <w:tabs>
          <w:tab w:val="clear" w:pos="360"/>
        </w:tabs>
        <w:spacing w:before="120" w:after="120"/>
        <w:ind w:left="426" w:hanging="426"/>
        <w:jc w:val="both"/>
        <w:rPr>
          <w:sz w:val="22"/>
          <w:szCs w:val="22"/>
        </w:rPr>
      </w:pPr>
      <w:r w:rsidRPr="00B6364B">
        <w:rPr>
          <w:sz w:val="22"/>
          <w:szCs w:val="22"/>
        </w:rPr>
        <w:t xml:space="preserve">VAT </w:t>
      </w:r>
      <w:r w:rsidR="007501CA" w:rsidRPr="00B6364B">
        <w:rPr>
          <w:sz w:val="22"/>
          <w:szCs w:val="22"/>
        </w:rPr>
        <w:t>not included in the daily fee</w:t>
      </w:r>
    </w:p>
    <w:p w14:paraId="33D23ED2" w14:textId="799243B9" w:rsidR="00DB30DE" w:rsidRPr="00B6364B" w:rsidRDefault="003436FE" w:rsidP="00DB30DE">
      <w:pPr>
        <w:shd w:val="clear" w:color="auto" w:fill="FFFFFF"/>
        <w:spacing w:before="120" w:after="120"/>
        <w:jc w:val="both"/>
        <w:rPr>
          <w:sz w:val="22"/>
          <w:szCs w:val="22"/>
        </w:rPr>
      </w:pPr>
      <w:r w:rsidRPr="00B6364B">
        <w:rPr>
          <w:sz w:val="22"/>
          <w:szCs w:val="22"/>
        </w:rPr>
        <w:t>and must us</w:t>
      </w:r>
      <w:r w:rsidR="002341B5" w:rsidRPr="00B6364B">
        <w:rPr>
          <w:sz w:val="22"/>
          <w:szCs w:val="22"/>
        </w:rPr>
        <w:t>e</w:t>
      </w:r>
      <w:r w:rsidRPr="00B6364B">
        <w:rPr>
          <w:sz w:val="22"/>
          <w:szCs w:val="22"/>
        </w:rPr>
        <w:t xml:space="preserve"> the templates included </w:t>
      </w:r>
      <w:r w:rsidR="002341B5" w:rsidRPr="00B6364B">
        <w:rPr>
          <w:sz w:val="22"/>
          <w:szCs w:val="22"/>
        </w:rPr>
        <w:t xml:space="preserve">in </w:t>
      </w:r>
      <w:r w:rsidRPr="00B6364B">
        <w:rPr>
          <w:sz w:val="22"/>
          <w:szCs w:val="22"/>
        </w:rPr>
        <w:t xml:space="preserve">this tender dossier. </w:t>
      </w:r>
    </w:p>
    <w:p w14:paraId="0A347F12" w14:textId="77777777" w:rsidR="003436FE" w:rsidRPr="00B6364B" w:rsidRDefault="003436FE" w:rsidP="003436FE">
      <w:pPr>
        <w:shd w:val="clear" w:color="auto" w:fill="FFFFFF"/>
        <w:spacing w:before="120" w:after="120"/>
        <w:jc w:val="both"/>
        <w:rPr>
          <w:sz w:val="22"/>
          <w:szCs w:val="22"/>
          <w:u w:val="single"/>
        </w:rPr>
      </w:pPr>
      <w:r w:rsidRPr="00B6364B">
        <w:rPr>
          <w:sz w:val="22"/>
          <w:szCs w:val="22"/>
          <w:u w:val="single"/>
        </w:rPr>
        <w:t>Incidental expenditure</w:t>
      </w:r>
    </w:p>
    <w:p w14:paraId="1AFB8858" w14:textId="3C9EFB9B" w:rsidR="003436FE" w:rsidRPr="002B370E" w:rsidRDefault="003436FE" w:rsidP="003436FE">
      <w:pPr>
        <w:shd w:val="clear" w:color="auto" w:fill="FFFFFF"/>
        <w:spacing w:before="120" w:after="120"/>
        <w:jc w:val="both"/>
        <w:rPr>
          <w:sz w:val="22"/>
          <w:szCs w:val="22"/>
        </w:rPr>
      </w:pPr>
      <w:r w:rsidRPr="00866475">
        <w:rPr>
          <w:sz w:val="22"/>
          <w:szCs w:val="22"/>
        </w:rPr>
        <w:t xml:space="preserve">Incidental </w:t>
      </w:r>
      <w:r w:rsidR="004463B0">
        <w:rPr>
          <w:sz w:val="22"/>
          <w:szCs w:val="22"/>
        </w:rPr>
        <w:t>expenditures</w:t>
      </w:r>
      <w:r w:rsidRPr="00866475">
        <w:rPr>
          <w:sz w:val="22"/>
          <w:szCs w:val="22"/>
        </w:rPr>
        <w:t xml:space="preserve"> </w:t>
      </w:r>
      <w:r w:rsidR="002549D4" w:rsidRPr="00866475">
        <w:rPr>
          <w:sz w:val="22"/>
          <w:szCs w:val="22"/>
        </w:rPr>
        <w:t>such as travel and accommodation shall be included in the daily fee</w:t>
      </w:r>
      <w:r w:rsidR="004463B0">
        <w:rPr>
          <w:sz w:val="22"/>
          <w:szCs w:val="22"/>
        </w:rPr>
        <w:t>.</w:t>
      </w:r>
    </w:p>
    <w:p w14:paraId="29F8638D" w14:textId="5ABD092D" w:rsidR="003436FE" w:rsidRPr="002B370E" w:rsidRDefault="003436FE" w:rsidP="003436FE">
      <w:pPr>
        <w:keepNext/>
        <w:keepLines/>
        <w:numPr>
          <w:ilvl w:val="0"/>
          <w:numId w:val="26"/>
        </w:numPr>
        <w:spacing w:before="120" w:after="120"/>
        <w:jc w:val="both"/>
        <w:rPr>
          <w:b/>
          <w:sz w:val="24"/>
          <w:szCs w:val="24"/>
        </w:rPr>
      </w:pPr>
      <w:r w:rsidRPr="002B370E">
        <w:rPr>
          <w:b/>
          <w:sz w:val="24"/>
          <w:szCs w:val="24"/>
        </w:rPr>
        <w:lastRenderedPageBreak/>
        <w:t>Period during which tenders are binding</w:t>
      </w:r>
    </w:p>
    <w:p w14:paraId="390FE83F" w14:textId="77777777"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xml:space="preserve">. In exceptional cases, before the period of validity expires, the </w:t>
      </w:r>
      <w:r w:rsidR="006D6595">
        <w:rPr>
          <w:sz w:val="22"/>
          <w:szCs w:val="22"/>
        </w:rPr>
        <w:t>c</w:t>
      </w:r>
      <w:r w:rsidRPr="002B370E">
        <w:rPr>
          <w:sz w:val="22"/>
          <w:szCs w:val="22"/>
        </w:rPr>
        <w:t xml:space="preserve">ontracting </w:t>
      </w:r>
      <w:r w:rsidR="006D6595">
        <w:rPr>
          <w:sz w:val="22"/>
          <w:szCs w:val="22"/>
        </w:rPr>
        <w:t>a</w:t>
      </w:r>
      <w:r w:rsidRPr="002B370E">
        <w:rPr>
          <w:sz w:val="22"/>
          <w:szCs w:val="22"/>
        </w:rPr>
        <w:t>uthority may ask tenderers to extend the period for a specific number of days, which may not exceed 40.</w:t>
      </w:r>
    </w:p>
    <w:p w14:paraId="324D926D" w14:textId="77777777" w:rsidR="003436FE" w:rsidRPr="002B370E" w:rsidRDefault="003436FE" w:rsidP="0009366A">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sidR="0009366A">
        <w:rPr>
          <w:sz w:val="22"/>
          <w:szCs w:val="22"/>
        </w:rPr>
        <w:t>This</w:t>
      </w:r>
      <w:r w:rsidR="0009366A" w:rsidRPr="002B370E">
        <w:rPr>
          <w:sz w:val="22"/>
          <w:szCs w:val="22"/>
        </w:rPr>
        <w:t xml:space="preserve"> </w:t>
      </w:r>
      <w:r w:rsidR="00FC3DFA">
        <w:rPr>
          <w:sz w:val="22"/>
          <w:szCs w:val="22"/>
        </w:rPr>
        <w:t>60-day</w:t>
      </w:r>
      <w:r w:rsidR="00FC3DFA" w:rsidRPr="002B370E">
        <w:rPr>
          <w:sz w:val="22"/>
          <w:szCs w:val="22"/>
        </w:rPr>
        <w:t xml:space="preserve"> </w:t>
      </w:r>
      <w:r w:rsidRPr="002B370E">
        <w:rPr>
          <w:sz w:val="22"/>
          <w:szCs w:val="22"/>
        </w:rPr>
        <w:t>period is added to the validity period irrespective of the date of notification</w:t>
      </w:r>
      <w:r w:rsidRPr="00FC3DFA">
        <w:rPr>
          <w:sz w:val="22"/>
          <w:szCs w:val="22"/>
        </w:rPr>
        <w:t>.</w:t>
      </w:r>
      <w:r w:rsidR="00FC3DFA" w:rsidRPr="000E38EE">
        <w:rPr>
          <w:sz w:val="20"/>
        </w:rPr>
        <w:t xml:space="preserve"> </w:t>
      </w:r>
      <w:r w:rsidR="00FC3DFA" w:rsidRPr="00FC3DFA">
        <w:rPr>
          <w:sz w:val="22"/>
          <w:szCs w:val="22"/>
        </w:rPr>
        <w:t>This period can be further extended when the contracting authority</w:t>
      </w:r>
      <w:r w:rsidR="00FC3DFA">
        <w:rPr>
          <w:sz w:val="22"/>
          <w:szCs w:val="22"/>
        </w:rPr>
        <w:t xml:space="preserve"> </w:t>
      </w:r>
      <w:r w:rsidR="00FC3DFA" w:rsidRPr="00FC3DFA">
        <w:rPr>
          <w:sz w:val="22"/>
          <w:szCs w:val="22"/>
        </w:rPr>
        <w:t xml:space="preserve">is required to obtain the recommendation of the panel referred to in </w:t>
      </w:r>
      <w:r w:rsidR="006D6595">
        <w:rPr>
          <w:sz w:val="22"/>
          <w:szCs w:val="22"/>
        </w:rPr>
        <w:t>S</w:t>
      </w:r>
      <w:r w:rsidR="00FC3DFA" w:rsidRPr="00FC3DFA">
        <w:rPr>
          <w:sz w:val="22"/>
          <w:szCs w:val="22"/>
        </w:rPr>
        <w:t>ection 2.</w:t>
      </w:r>
      <w:r w:rsidR="00B16907">
        <w:rPr>
          <w:sz w:val="22"/>
          <w:szCs w:val="22"/>
        </w:rPr>
        <w:t>6</w:t>
      </w:r>
      <w:r w:rsidR="00FC3DFA" w:rsidRPr="00FC3DFA">
        <w:rPr>
          <w:sz w:val="22"/>
          <w:szCs w:val="22"/>
        </w:rPr>
        <w:t>.</w:t>
      </w:r>
      <w:r w:rsidR="00B16907">
        <w:rPr>
          <w:sz w:val="22"/>
          <w:szCs w:val="22"/>
        </w:rPr>
        <w:t>10</w:t>
      </w:r>
      <w:r w:rsidR="00FC3DFA" w:rsidRPr="00FC3DFA">
        <w:rPr>
          <w:sz w:val="22"/>
          <w:szCs w:val="22"/>
        </w:rPr>
        <w:t>.</w:t>
      </w:r>
      <w:r w:rsidR="00B16907">
        <w:rPr>
          <w:sz w:val="22"/>
          <w:szCs w:val="22"/>
        </w:rPr>
        <w:t>1.1</w:t>
      </w:r>
      <w:r w:rsidR="00FC3DFA" w:rsidRPr="00FC3DFA">
        <w:rPr>
          <w:sz w:val="22"/>
          <w:szCs w:val="22"/>
        </w:rPr>
        <w:t xml:space="preserve"> of the </w:t>
      </w:r>
      <w:r w:rsidR="00B16907">
        <w:rPr>
          <w:sz w:val="22"/>
          <w:szCs w:val="22"/>
        </w:rPr>
        <w:t>p</w:t>
      </w:r>
      <w:r w:rsidR="00FC3DFA" w:rsidRPr="00FC3DFA">
        <w:rPr>
          <w:sz w:val="22"/>
          <w:szCs w:val="22"/>
        </w:rPr>
        <w:t xml:space="preserve">ractical </w:t>
      </w:r>
      <w:r w:rsidR="00B16907">
        <w:rPr>
          <w:sz w:val="22"/>
          <w:szCs w:val="22"/>
        </w:rPr>
        <w:t>g</w:t>
      </w:r>
      <w:r w:rsidR="00FC3DFA" w:rsidRPr="00FC3DFA">
        <w:rPr>
          <w:sz w:val="22"/>
          <w:szCs w:val="22"/>
        </w:rPr>
        <w:t>uide, up to the adoption of that recommendation.</w:t>
      </w:r>
    </w:p>
    <w:p w14:paraId="7BBC6B59" w14:textId="05630C84" w:rsidR="003436FE" w:rsidRPr="00F52C4F" w:rsidRDefault="003436FE" w:rsidP="00F52C4F">
      <w:pPr>
        <w:keepNext/>
        <w:numPr>
          <w:ilvl w:val="0"/>
          <w:numId w:val="26"/>
        </w:numPr>
        <w:spacing w:before="120" w:after="120"/>
        <w:jc w:val="both"/>
        <w:rPr>
          <w:sz w:val="22"/>
          <w:szCs w:val="22"/>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07C4D801" w14:textId="77777777" w:rsidR="003436FE" w:rsidRPr="00510846" w:rsidRDefault="003436FE" w:rsidP="003436FE">
      <w:pPr>
        <w:keepNext/>
        <w:spacing w:before="120" w:after="120"/>
        <w:jc w:val="both"/>
        <w:rPr>
          <w:sz w:val="22"/>
          <w:szCs w:val="22"/>
        </w:rPr>
      </w:pPr>
      <w:r w:rsidRPr="004A7978">
        <w:rPr>
          <w:sz w:val="22"/>
          <w:szCs w:val="22"/>
        </w:rPr>
        <w:t>Tenderers may submit questions in writing to the following address up to 21 days before the deadline for submission of tenders, specifying the publication reference and the contract title:</w:t>
      </w:r>
    </w:p>
    <w:p w14:paraId="1AA94C01" w14:textId="77777777" w:rsidR="00A8663C" w:rsidRDefault="00A8663C" w:rsidP="00F938D1">
      <w:pPr>
        <w:pStyle w:val="BodyText"/>
        <w:rPr>
          <w:sz w:val="22"/>
          <w:szCs w:val="22"/>
        </w:rPr>
      </w:pPr>
    </w:p>
    <w:p w14:paraId="746351C4" w14:textId="5A6B8C13" w:rsidR="00A8663C" w:rsidRDefault="00A8663C" w:rsidP="00F938D1">
      <w:pPr>
        <w:pStyle w:val="BodyText"/>
        <w:rPr>
          <w:sz w:val="22"/>
          <w:szCs w:val="22"/>
        </w:rPr>
      </w:pPr>
      <w:proofErr w:type="spellStart"/>
      <w:r>
        <w:rPr>
          <w:sz w:val="22"/>
          <w:szCs w:val="22"/>
        </w:rPr>
        <w:t>Co-PLAN</w:t>
      </w:r>
      <w:proofErr w:type="spellEnd"/>
      <w:r>
        <w:rPr>
          <w:sz w:val="22"/>
          <w:szCs w:val="22"/>
        </w:rPr>
        <w:t>, Institute for Habitat Development</w:t>
      </w:r>
    </w:p>
    <w:p w14:paraId="259F51D7" w14:textId="713AB5F4" w:rsidR="003436FE" w:rsidRPr="00510846" w:rsidRDefault="003436FE" w:rsidP="00F938D1">
      <w:pPr>
        <w:pStyle w:val="BodyText"/>
        <w:rPr>
          <w:sz w:val="22"/>
          <w:szCs w:val="22"/>
        </w:rPr>
      </w:pPr>
      <w:r w:rsidRPr="00F938D1">
        <w:rPr>
          <w:sz w:val="22"/>
          <w:szCs w:val="22"/>
        </w:rPr>
        <w:t>Address</w:t>
      </w:r>
      <w:r w:rsidR="004463B0" w:rsidRPr="00F938D1">
        <w:rPr>
          <w:sz w:val="22"/>
          <w:szCs w:val="22"/>
        </w:rPr>
        <w:t>: Post Code 1051, Post Box 2995, Tirana, Albania</w:t>
      </w:r>
      <w:r w:rsidRPr="00F938D1">
        <w:rPr>
          <w:sz w:val="22"/>
          <w:szCs w:val="22"/>
        </w:rPr>
        <w:br/>
        <w:t>E-mail</w:t>
      </w:r>
      <w:r w:rsidR="002549D4" w:rsidRPr="00F938D1">
        <w:rPr>
          <w:sz w:val="22"/>
          <w:szCs w:val="22"/>
        </w:rPr>
        <w:t>: co-plan@co-plan.org</w:t>
      </w:r>
    </w:p>
    <w:p w14:paraId="00CD30CB" w14:textId="77777777" w:rsidR="00835440" w:rsidRDefault="00727DA7" w:rsidP="003436FE">
      <w:pPr>
        <w:pStyle w:val="BodyText"/>
        <w:spacing w:before="120" w:after="120"/>
        <w:jc w:val="both"/>
        <w:rPr>
          <w:i/>
          <w:iCs/>
          <w:u w:val="single"/>
        </w:rPr>
      </w:pPr>
      <w:r w:rsidRPr="001411CE">
        <w:rPr>
          <w:iCs/>
          <w:sz w:val="22"/>
          <w:szCs w:val="22"/>
        </w:rPr>
        <w:t xml:space="preserve">The contracting authority has no obligation to provide clarification </w:t>
      </w:r>
      <w:r w:rsidRPr="001411CE">
        <w:rPr>
          <w:rStyle w:val="Emphasis"/>
          <w:i w:val="0"/>
          <w:sz w:val="22"/>
          <w:szCs w:val="22"/>
        </w:rPr>
        <w:t>on questions received</w:t>
      </w:r>
      <w:r w:rsidRPr="001411CE">
        <w:rPr>
          <w:sz w:val="22"/>
          <w:szCs w:val="22"/>
        </w:rPr>
        <w:t xml:space="preserve"> </w:t>
      </w:r>
      <w:r w:rsidRPr="001411CE">
        <w:rPr>
          <w:iCs/>
          <w:sz w:val="22"/>
          <w:szCs w:val="22"/>
          <w:u w:val="single"/>
        </w:rPr>
        <w:t>after this date.</w:t>
      </w:r>
      <w:r>
        <w:rPr>
          <w:i/>
          <w:iCs/>
          <w:u w:val="single"/>
        </w:rPr>
        <w:t xml:space="preserve"> </w:t>
      </w:r>
    </w:p>
    <w:p w14:paraId="126ECCE1" w14:textId="423EDDBB" w:rsidR="00A7065A" w:rsidRPr="002B370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w:t>
      </w:r>
      <w:r w:rsidR="00B16907">
        <w:rPr>
          <w:sz w:val="22"/>
          <w:szCs w:val="22"/>
        </w:rPr>
        <w:t>c</w:t>
      </w:r>
      <w:r w:rsidRPr="002B370E">
        <w:rPr>
          <w:sz w:val="22"/>
          <w:szCs w:val="22"/>
        </w:rPr>
        <w:t xml:space="preserve">ontracting </w:t>
      </w:r>
      <w:r w:rsidR="00B16907">
        <w:rPr>
          <w:sz w:val="22"/>
          <w:szCs w:val="22"/>
        </w:rPr>
        <w:t>a</w:t>
      </w:r>
      <w:r w:rsidRPr="002B370E">
        <w:rPr>
          <w:sz w:val="22"/>
          <w:szCs w:val="22"/>
        </w:rPr>
        <w:t xml:space="preserve">uthority and/or the government of the </w:t>
      </w:r>
      <w:r w:rsidR="00C1267B">
        <w:rPr>
          <w:sz w:val="22"/>
          <w:szCs w:val="22"/>
        </w:rPr>
        <w:t>partner</w:t>
      </w:r>
      <w:r w:rsidR="00C1267B" w:rsidRPr="002B370E">
        <w:rPr>
          <w:sz w:val="22"/>
          <w:szCs w:val="22"/>
        </w:rPr>
        <w:t xml:space="preserve"> </w:t>
      </w:r>
      <w:r w:rsidRPr="002B370E">
        <w:rPr>
          <w:sz w:val="22"/>
          <w:szCs w:val="22"/>
        </w:rPr>
        <w:t>country and/or the European Commission concerning this contract during the tender period may be excluded from the tender procedure.</w:t>
      </w:r>
    </w:p>
    <w:p w14:paraId="5393215E" w14:textId="648F1C0C" w:rsidR="00A71182" w:rsidRPr="002549D4" w:rsidRDefault="00A71182" w:rsidP="00A71182">
      <w:pPr>
        <w:pStyle w:val="BodyText"/>
        <w:spacing w:before="120" w:after="120"/>
        <w:jc w:val="both"/>
        <w:rPr>
          <w:sz w:val="22"/>
          <w:szCs w:val="22"/>
        </w:rPr>
      </w:pPr>
      <w:r w:rsidRPr="002549D4">
        <w:rPr>
          <w:sz w:val="22"/>
          <w:szCs w:val="22"/>
        </w:rPr>
        <w:t xml:space="preserve">Any clarification of the tender dossier will be communicated simultaneously in writing to all tenderers at the latest 8 days before the deadline for submitting tenders. </w:t>
      </w:r>
    </w:p>
    <w:p w14:paraId="4E73EDD0" w14:textId="77777777" w:rsidR="00A71182" w:rsidRPr="002549D4" w:rsidRDefault="00A71182" w:rsidP="00A71182">
      <w:pPr>
        <w:pStyle w:val="BodyText"/>
        <w:spacing w:before="120" w:after="120"/>
        <w:jc w:val="both"/>
        <w:rPr>
          <w:sz w:val="22"/>
          <w:szCs w:val="22"/>
        </w:rPr>
      </w:pPr>
      <w:r w:rsidRPr="002549D4">
        <w:rPr>
          <w:sz w:val="22"/>
          <w:szCs w:val="22"/>
        </w:rPr>
        <w:t>No information meeting is planned.</w:t>
      </w:r>
    </w:p>
    <w:p w14:paraId="50771629" w14:textId="77777777" w:rsidR="00A71182" w:rsidRPr="002549D4" w:rsidRDefault="00A71182" w:rsidP="00A71182">
      <w:pPr>
        <w:pStyle w:val="BodyText"/>
        <w:spacing w:before="120" w:after="120"/>
        <w:jc w:val="both"/>
        <w:rPr>
          <w:sz w:val="22"/>
          <w:szCs w:val="22"/>
        </w:rPr>
      </w:pPr>
      <w:r w:rsidRPr="002549D4">
        <w:rPr>
          <w:sz w:val="22"/>
          <w:szCs w:val="22"/>
        </w:rPr>
        <w:t>No site visit is planned.</w:t>
      </w:r>
    </w:p>
    <w:p w14:paraId="4464F6C6" w14:textId="241DBB99" w:rsidR="00A71182" w:rsidRPr="002B370E" w:rsidRDefault="00A71182" w:rsidP="003436FE">
      <w:pPr>
        <w:pStyle w:val="BodyText"/>
        <w:spacing w:before="120" w:after="120"/>
        <w:jc w:val="both"/>
        <w:rPr>
          <w:sz w:val="22"/>
          <w:szCs w:val="22"/>
        </w:rPr>
      </w:pPr>
      <w:r w:rsidRPr="002549D4">
        <w:rPr>
          <w:sz w:val="22"/>
          <w:szCs w:val="22"/>
        </w:rPr>
        <w:t>Visits by individual prospective tenderers during the tender period are not organised.</w:t>
      </w:r>
    </w:p>
    <w:p w14:paraId="410D4F07" w14:textId="77777777"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14:paraId="44440593" w14:textId="543F07E1" w:rsidR="007E6A55" w:rsidRPr="00971412" w:rsidRDefault="003436FE" w:rsidP="003436FE">
      <w:pPr>
        <w:spacing w:before="120" w:after="120"/>
        <w:jc w:val="both"/>
        <w:rPr>
          <w:sz w:val="22"/>
          <w:szCs w:val="22"/>
        </w:rPr>
      </w:pPr>
      <w:r w:rsidRPr="00971412">
        <w:rPr>
          <w:sz w:val="22"/>
          <w:szCs w:val="22"/>
        </w:rPr>
        <w:t xml:space="preserve">Tenders must be </w:t>
      </w:r>
      <w:r w:rsidR="00883936" w:rsidRPr="00971412">
        <w:rPr>
          <w:sz w:val="22"/>
          <w:szCs w:val="22"/>
        </w:rPr>
        <w:t xml:space="preserve">sent </w:t>
      </w:r>
      <w:r w:rsidR="001B53F1" w:rsidRPr="00971412">
        <w:rPr>
          <w:sz w:val="22"/>
          <w:szCs w:val="22"/>
        </w:rPr>
        <w:t xml:space="preserve">to the </w:t>
      </w:r>
      <w:r w:rsidR="00B16907" w:rsidRPr="00971412">
        <w:rPr>
          <w:sz w:val="22"/>
          <w:szCs w:val="22"/>
        </w:rPr>
        <w:t>c</w:t>
      </w:r>
      <w:r w:rsidR="001B53F1" w:rsidRPr="00971412">
        <w:rPr>
          <w:sz w:val="22"/>
          <w:szCs w:val="22"/>
        </w:rPr>
        <w:t xml:space="preserve">ontracting </w:t>
      </w:r>
      <w:r w:rsidR="00B16907" w:rsidRPr="00971412">
        <w:rPr>
          <w:sz w:val="22"/>
          <w:szCs w:val="22"/>
        </w:rPr>
        <w:t>a</w:t>
      </w:r>
      <w:r w:rsidR="001B53F1" w:rsidRPr="00971412">
        <w:rPr>
          <w:sz w:val="22"/>
          <w:szCs w:val="22"/>
        </w:rPr>
        <w:t xml:space="preserve">uthority </w:t>
      </w:r>
      <w:r w:rsidRPr="00971412">
        <w:rPr>
          <w:sz w:val="22"/>
          <w:szCs w:val="22"/>
        </w:rPr>
        <w:t xml:space="preserve">before </w:t>
      </w:r>
      <w:r w:rsidR="00971412">
        <w:rPr>
          <w:sz w:val="22"/>
          <w:szCs w:val="22"/>
        </w:rPr>
        <w:t>30.8</w:t>
      </w:r>
      <w:r w:rsidR="00875AF1" w:rsidRPr="00971412">
        <w:rPr>
          <w:sz w:val="22"/>
          <w:szCs w:val="22"/>
        </w:rPr>
        <w:t>.2024, 1</w:t>
      </w:r>
      <w:r w:rsidR="00971412">
        <w:rPr>
          <w:sz w:val="22"/>
          <w:szCs w:val="22"/>
        </w:rPr>
        <w:t>2</w:t>
      </w:r>
      <w:r w:rsidR="00875AF1" w:rsidRPr="00971412">
        <w:rPr>
          <w:sz w:val="22"/>
          <w:szCs w:val="22"/>
        </w:rPr>
        <w:t>:00.</w:t>
      </w:r>
    </w:p>
    <w:p w14:paraId="54C2C0D7" w14:textId="1F56E75F" w:rsidR="003436FE" w:rsidRPr="00971412" w:rsidRDefault="003436FE" w:rsidP="00875AF1">
      <w:pPr>
        <w:spacing w:before="120"/>
        <w:jc w:val="both"/>
        <w:rPr>
          <w:sz w:val="22"/>
          <w:szCs w:val="22"/>
        </w:rPr>
      </w:pPr>
      <w:r w:rsidRPr="00971412">
        <w:rPr>
          <w:sz w:val="22"/>
          <w:szCs w:val="22"/>
        </w:rPr>
        <w:t>They must include the requested documents in clause 4 above and be sent:</w:t>
      </w:r>
    </w:p>
    <w:p w14:paraId="11CE5B7B" w14:textId="616816DD" w:rsidR="00875AF1" w:rsidRPr="00971412" w:rsidRDefault="00875AF1" w:rsidP="00875AF1">
      <w:pPr>
        <w:keepNext/>
        <w:keepLines/>
        <w:spacing w:before="120" w:after="120"/>
        <w:ind w:left="360"/>
        <w:jc w:val="both"/>
        <w:rPr>
          <w:sz w:val="22"/>
          <w:szCs w:val="22"/>
        </w:rPr>
      </w:pPr>
      <w:r w:rsidRPr="00971412">
        <w:rPr>
          <w:b/>
          <w:sz w:val="22"/>
          <w:szCs w:val="22"/>
        </w:rPr>
        <w:t>EITHER</w:t>
      </w:r>
      <w:r w:rsidRPr="00971412">
        <w:rPr>
          <w:sz w:val="22"/>
          <w:szCs w:val="22"/>
        </w:rPr>
        <w:t xml:space="preserve"> by post or by courier service, in which case the evidence shall be constituted by the postmark or the date of the deposit slip</w:t>
      </w:r>
      <w:r w:rsidRPr="00971412">
        <w:rPr>
          <w:rStyle w:val="FootnoteReference"/>
          <w:sz w:val="22"/>
          <w:szCs w:val="22"/>
        </w:rPr>
        <w:footnoteReference w:id="1"/>
      </w:r>
      <w:r w:rsidRPr="00971412">
        <w:rPr>
          <w:sz w:val="22"/>
          <w:szCs w:val="22"/>
        </w:rPr>
        <w:t>, to:</w:t>
      </w:r>
    </w:p>
    <w:p w14:paraId="0E46505D" w14:textId="77777777" w:rsidR="00875AF1" w:rsidRPr="00875AF1" w:rsidRDefault="00875AF1" w:rsidP="00875AF1">
      <w:pPr>
        <w:pStyle w:val="Blockquote"/>
        <w:keepNext/>
        <w:keepLines/>
        <w:spacing w:before="0" w:after="0" w:line="276" w:lineRule="auto"/>
        <w:jc w:val="center"/>
        <w:rPr>
          <w:sz w:val="22"/>
          <w:szCs w:val="22"/>
          <w:lang w:val="en-GB"/>
        </w:rPr>
      </w:pPr>
      <w:r w:rsidRPr="00875AF1">
        <w:rPr>
          <w:sz w:val="22"/>
          <w:szCs w:val="22"/>
          <w:lang w:val="en-GB"/>
        </w:rPr>
        <w:t>CO-PLAN Institute for Habitat Development</w:t>
      </w:r>
    </w:p>
    <w:p w14:paraId="3A85BFD9" w14:textId="77777777" w:rsidR="00875AF1" w:rsidRPr="00875AF1" w:rsidRDefault="00875AF1" w:rsidP="00875AF1">
      <w:pPr>
        <w:pStyle w:val="Blockquote"/>
        <w:keepNext/>
        <w:keepLines/>
        <w:spacing w:before="0" w:after="0" w:line="276" w:lineRule="auto"/>
        <w:jc w:val="center"/>
        <w:rPr>
          <w:sz w:val="22"/>
          <w:szCs w:val="22"/>
          <w:lang w:val="en-GB"/>
        </w:rPr>
      </w:pPr>
      <w:r w:rsidRPr="00875AF1">
        <w:rPr>
          <w:sz w:val="22"/>
          <w:szCs w:val="22"/>
          <w:lang w:val="en-GB"/>
        </w:rPr>
        <w:t xml:space="preserve">Address: </w:t>
      </w:r>
      <w:proofErr w:type="spellStart"/>
      <w:r w:rsidRPr="00875AF1">
        <w:rPr>
          <w:sz w:val="22"/>
          <w:szCs w:val="22"/>
          <w:lang w:val="en-GB"/>
        </w:rPr>
        <w:t>Universiteti</w:t>
      </w:r>
      <w:proofErr w:type="spellEnd"/>
      <w:r w:rsidRPr="00875AF1">
        <w:rPr>
          <w:sz w:val="22"/>
          <w:szCs w:val="22"/>
          <w:lang w:val="en-GB"/>
        </w:rPr>
        <w:t xml:space="preserve"> Polis, Rr. ''</w:t>
      </w:r>
      <w:proofErr w:type="spellStart"/>
      <w:r w:rsidRPr="00875AF1">
        <w:rPr>
          <w:sz w:val="22"/>
          <w:szCs w:val="22"/>
          <w:lang w:val="en-GB"/>
        </w:rPr>
        <w:t>Bylis</w:t>
      </w:r>
      <w:proofErr w:type="spellEnd"/>
      <w:r w:rsidRPr="00875AF1">
        <w:rPr>
          <w:sz w:val="22"/>
          <w:szCs w:val="22"/>
          <w:lang w:val="en-GB"/>
        </w:rPr>
        <w:t>'' 12,</w:t>
      </w:r>
    </w:p>
    <w:p w14:paraId="381DCD49" w14:textId="77777777" w:rsidR="00875AF1" w:rsidRPr="00875AF1" w:rsidRDefault="00875AF1" w:rsidP="00875AF1">
      <w:pPr>
        <w:pStyle w:val="Blockquote"/>
        <w:keepNext/>
        <w:keepLines/>
        <w:spacing w:before="0" w:after="0" w:line="276" w:lineRule="auto"/>
        <w:jc w:val="center"/>
        <w:rPr>
          <w:sz w:val="22"/>
          <w:szCs w:val="22"/>
          <w:lang w:val="en-GB"/>
        </w:rPr>
      </w:pPr>
      <w:r w:rsidRPr="00875AF1">
        <w:rPr>
          <w:sz w:val="22"/>
          <w:szCs w:val="22"/>
          <w:lang w:val="en-GB"/>
        </w:rPr>
        <w:t>Tirana, Albania</w:t>
      </w:r>
    </w:p>
    <w:p w14:paraId="71420EFF" w14:textId="77777777" w:rsidR="00875AF1" w:rsidRDefault="00875AF1" w:rsidP="00875AF1">
      <w:pPr>
        <w:keepNext/>
        <w:keepLines/>
        <w:spacing w:after="120" w:line="276" w:lineRule="auto"/>
        <w:ind w:left="360"/>
        <w:jc w:val="center"/>
        <w:rPr>
          <w:sz w:val="22"/>
          <w:szCs w:val="22"/>
          <w:highlight w:val="lightGray"/>
        </w:rPr>
      </w:pPr>
    </w:p>
    <w:p w14:paraId="63F6E57A" w14:textId="77777777" w:rsidR="00875AF1" w:rsidRDefault="00875AF1" w:rsidP="00875AF1">
      <w:pPr>
        <w:spacing w:before="120"/>
        <w:jc w:val="both"/>
        <w:rPr>
          <w:sz w:val="22"/>
          <w:szCs w:val="22"/>
        </w:rPr>
      </w:pPr>
    </w:p>
    <w:p w14:paraId="606F29C3" w14:textId="77777777" w:rsidR="003436FE" w:rsidRPr="002B370E" w:rsidRDefault="003436FE" w:rsidP="00695F78">
      <w:pPr>
        <w:pStyle w:val="Blockquote"/>
        <w:keepNext/>
        <w:keepLines/>
        <w:spacing w:before="120" w:after="120"/>
        <w:jc w:val="both"/>
        <w:rPr>
          <w:sz w:val="22"/>
          <w:szCs w:val="22"/>
        </w:rPr>
      </w:pPr>
      <w:r w:rsidRPr="002A01F3">
        <w:rPr>
          <w:b/>
          <w:sz w:val="22"/>
          <w:szCs w:val="22"/>
        </w:rPr>
        <w:lastRenderedPageBreak/>
        <w:t>OR</w:t>
      </w:r>
      <w:r w:rsidRPr="002A01F3">
        <w:rPr>
          <w:sz w:val="22"/>
          <w:szCs w:val="22"/>
        </w:rPr>
        <w:t xml:space="preserve"> </w:t>
      </w:r>
      <w:r w:rsidRPr="002A01F3">
        <w:rPr>
          <w:rStyle w:val="Strong"/>
          <w:b w:val="0"/>
          <w:sz w:val="22"/>
          <w:szCs w:val="22"/>
        </w:rPr>
        <w:t>hand delivered</w:t>
      </w:r>
      <w:r w:rsidRPr="002A01F3">
        <w:rPr>
          <w:sz w:val="22"/>
          <w:szCs w:val="22"/>
        </w:rPr>
        <w:t xml:space="preserve"> </w:t>
      </w:r>
      <w:r w:rsidR="003E033C" w:rsidRPr="002A01F3">
        <w:rPr>
          <w:sz w:val="22"/>
          <w:szCs w:val="22"/>
          <w:lang w:val="en-GB"/>
        </w:rPr>
        <w:t>by the participant in person or by an agent</w:t>
      </w:r>
      <w:r w:rsidR="003E033C" w:rsidRPr="002A01F3">
        <w:rPr>
          <w:rStyle w:val="Strong"/>
          <w:b w:val="0"/>
          <w:sz w:val="22"/>
          <w:szCs w:val="22"/>
          <w:lang w:val="en-GB"/>
        </w:rPr>
        <w:t xml:space="preserve"> directly</w:t>
      </w:r>
      <w:r w:rsidR="003E033C" w:rsidRPr="002A01F3">
        <w:rPr>
          <w:sz w:val="22"/>
          <w:szCs w:val="22"/>
          <w:lang w:val="en-GB"/>
        </w:rPr>
        <w:t xml:space="preserve"> to the premises of the contracting authority in return for a </w:t>
      </w:r>
      <w:r w:rsidR="003E033C" w:rsidRPr="002A01F3">
        <w:rPr>
          <w:rStyle w:val="Strong"/>
          <w:b w:val="0"/>
          <w:sz w:val="22"/>
          <w:szCs w:val="22"/>
          <w:lang w:val="en-GB"/>
        </w:rPr>
        <w:t>signed and dated receipt</w:t>
      </w:r>
      <w:r w:rsidR="003E033C" w:rsidRPr="002A01F3">
        <w:rPr>
          <w:sz w:val="22"/>
          <w:szCs w:val="22"/>
          <w:lang w:val="en-GB"/>
        </w:rPr>
        <w:t xml:space="preserve">, in which case the evidence shall be constituted by this acknowledgement of receipt, </w:t>
      </w:r>
      <w:r w:rsidRPr="002A01F3">
        <w:rPr>
          <w:sz w:val="22"/>
          <w:szCs w:val="22"/>
        </w:rPr>
        <w:t>to:</w:t>
      </w:r>
    </w:p>
    <w:p w14:paraId="452BDC32" w14:textId="2EBF66AB" w:rsidR="00875AF1" w:rsidRPr="00875AF1" w:rsidRDefault="00875AF1" w:rsidP="00875AF1">
      <w:pPr>
        <w:pStyle w:val="Blockquote"/>
        <w:keepNext/>
        <w:keepLines/>
        <w:spacing w:before="0" w:after="0" w:line="276" w:lineRule="auto"/>
        <w:jc w:val="center"/>
        <w:rPr>
          <w:sz w:val="22"/>
          <w:szCs w:val="22"/>
          <w:lang w:val="en-GB"/>
        </w:rPr>
      </w:pPr>
      <w:r w:rsidRPr="00875AF1">
        <w:rPr>
          <w:sz w:val="22"/>
          <w:szCs w:val="22"/>
          <w:lang w:val="en-GB"/>
        </w:rPr>
        <w:t>CO-PLAN Institute for Habitat Development</w:t>
      </w:r>
      <w:r>
        <w:rPr>
          <w:sz w:val="22"/>
          <w:szCs w:val="22"/>
          <w:lang w:val="en-GB"/>
        </w:rPr>
        <w:t xml:space="preserve"> (</w:t>
      </w:r>
      <w:r>
        <w:rPr>
          <w:sz w:val="22"/>
          <w:szCs w:val="22"/>
        </w:rPr>
        <w:t>Opening</w:t>
      </w:r>
      <w:r>
        <w:rPr>
          <w:sz w:val="22"/>
          <w:szCs w:val="22"/>
          <w:lang w:val="en-GB"/>
        </w:rPr>
        <w:t xml:space="preserve"> Hours 8:00-16:00)</w:t>
      </w:r>
    </w:p>
    <w:p w14:paraId="3EAB4281" w14:textId="77777777" w:rsidR="00875AF1" w:rsidRPr="00875AF1" w:rsidRDefault="00875AF1" w:rsidP="00875AF1">
      <w:pPr>
        <w:pStyle w:val="Blockquote"/>
        <w:keepNext/>
        <w:keepLines/>
        <w:spacing w:before="0" w:after="0" w:line="276" w:lineRule="auto"/>
        <w:jc w:val="center"/>
        <w:rPr>
          <w:sz w:val="22"/>
          <w:szCs w:val="22"/>
          <w:lang w:val="en-GB"/>
        </w:rPr>
      </w:pPr>
      <w:r w:rsidRPr="00875AF1">
        <w:rPr>
          <w:sz w:val="22"/>
          <w:szCs w:val="22"/>
          <w:lang w:val="en-GB"/>
        </w:rPr>
        <w:t xml:space="preserve">Address: </w:t>
      </w:r>
      <w:proofErr w:type="spellStart"/>
      <w:r w:rsidRPr="00875AF1">
        <w:rPr>
          <w:sz w:val="22"/>
          <w:szCs w:val="22"/>
          <w:lang w:val="en-GB"/>
        </w:rPr>
        <w:t>Universiteti</w:t>
      </w:r>
      <w:proofErr w:type="spellEnd"/>
      <w:r w:rsidRPr="00875AF1">
        <w:rPr>
          <w:sz w:val="22"/>
          <w:szCs w:val="22"/>
          <w:lang w:val="en-GB"/>
        </w:rPr>
        <w:t xml:space="preserve"> Polis, Rr. ''</w:t>
      </w:r>
      <w:proofErr w:type="spellStart"/>
      <w:r w:rsidRPr="00875AF1">
        <w:rPr>
          <w:sz w:val="22"/>
          <w:szCs w:val="22"/>
          <w:lang w:val="en-GB"/>
        </w:rPr>
        <w:t>Bylis</w:t>
      </w:r>
      <w:proofErr w:type="spellEnd"/>
      <w:r w:rsidRPr="00875AF1">
        <w:rPr>
          <w:sz w:val="22"/>
          <w:szCs w:val="22"/>
          <w:lang w:val="en-GB"/>
        </w:rPr>
        <w:t>'' 12,</w:t>
      </w:r>
    </w:p>
    <w:p w14:paraId="4B232E9F" w14:textId="77777777" w:rsidR="00875AF1" w:rsidRPr="00875AF1" w:rsidRDefault="00875AF1" w:rsidP="00875AF1">
      <w:pPr>
        <w:pStyle w:val="Blockquote"/>
        <w:keepNext/>
        <w:keepLines/>
        <w:spacing w:before="0" w:after="0" w:line="276" w:lineRule="auto"/>
        <w:jc w:val="center"/>
        <w:rPr>
          <w:sz w:val="22"/>
          <w:szCs w:val="22"/>
          <w:lang w:val="en-GB"/>
        </w:rPr>
      </w:pPr>
      <w:r w:rsidRPr="00875AF1">
        <w:rPr>
          <w:sz w:val="22"/>
          <w:szCs w:val="22"/>
          <w:lang w:val="en-GB"/>
        </w:rPr>
        <w:t>Tirana, Albania</w:t>
      </w:r>
    </w:p>
    <w:p w14:paraId="23A20AA3" w14:textId="50B8D715" w:rsidR="003436FE" w:rsidRDefault="003436FE" w:rsidP="003436FE">
      <w:pPr>
        <w:pStyle w:val="Blockquote"/>
        <w:spacing w:before="120" w:after="120"/>
        <w:jc w:val="center"/>
        <w:rPr>
          <w:rStyle w:val="Emphasis"/>
          <w:i w:val="0"/>
          <w:sz w:val="22"/>
          <w:szCs w:val="22"/>
          <w:lang w:val="en-GB"/>
        </w:rPr>
      </w:pPr>
    </w:p>
    <w:p w14:paraId="104420D5" w14:textId="14C17BFF" w:rsidR="007F7A0E" w:rsidRPr="002A01F3" w:rsidRDefault="00743575" w:rsidP="0075795B">
      <w:pPr>
        <w:pStyle w:val="Blockquote"/>
        <w:ind w:left="0" w:right="26"/>
        <w:jc w:val="both"/>
        <w:rPr>
          <w:rStyle w:val="Strong"/>
          <w:snapToGrid/>
          <w:sz w:val="22"/>
          <w:szCs w:val="22"/>
          <w:lang w:val="en-GB" w:eastAsia="en-GB"/>
        </w:rPr>
      </w:pPr>
      <w:r w:rsidRPr="002A01F3">
        <w:rPr>
          <w:sz w:val="22"/>
          <w:szCs w:val="22"/>
        </w:rPr>
        <w:t xml:space="preserve">The contracting authority may, for reasons of administrative efficiency, reject any </w:t>
      </w:r>
      <w:r w:rsidR="003C1B95" w:rsidRPr="002A01F3">
        <w:rPr>
          <w:sz w:val="22"/>
          <w:szCs w:val="22"/>
        </w:rPr>
        <w:t xml:space="preserve">request to participate </w:t>
      </w:r>
      <w:r w:rsidRPr="002A01F3">
        <w:rPr>
          <w:sz w:val="22"/>
          <w:szCs w:val="22"/>
        </w:rPr>
        <w:t xml:space="preserve">or tender submitted on time to the postal service but received, for any reason beyond the contracting authority's control, after the effective date of approval of the short-list report or of the evaluation report, if accepting </w:t>
      </w:r>
      <w:r w:rsidR="003C1B95" w:rsidRPr="002A01F3">
        <w:rPr>
          <w:sz w:val="22"/>
          <w:szCs w:val="22"/>
        </w:rPr>
        <w:t>request</w:t>
      </w:r>
      <w:r w:rsidRPr="002A01F3">
        <w:rPr>
          <w:sz w:val="22"/>
          <w:szCs w:val="22"/>
        </w:rPr>
        <w:t>s</w:t>
      </w:r>
      <w:r w:rsidR="003C1B95" w:rsidRPr="002A01F3">
        <w:rPr>
          <w:sz w:val="22"/>
          <w:szCs w:val="22"/>
        </w:rPr>
        <w:t xml:space="preserve"> to participate</w:t>
      </w:r>
      <w:r w:rsidRPr="002A01F3">
        <w:rPr>
          <w:sz w:val="22"/>
          <w:szCs w:val="22"/>
        </w:rPr>
        <w:t xml:space="preserve"> or tenders that were submitted on time but arrived late would considerably delay the evaluation procedure</w:t>
      </w:r>
      <w:r w:rsidR="00B862E7" w:rsidRPr="002A01F3">
        <w:rPr>
          <w:sz w:val="22"/>
          <w:szCs w:val="22"/>
        </w:rPr>
        <w:t xml:space="preserve"> </w:t>
      </w:r>
      <w:r w:rsidRPr="002A01F3">
        <w:rPr>
          <w:sz w:val="22"/>
          <w:szCs w:val="22"/>
        </w:rPr>
        <w:t xml:space="preserve">or </w:t>
      </w:r>
      <w:r w:rsidR="00B35B53" w:rsidRPr="002A01F3">
        <w:rPr>
          <w:sz w:val="22"/>
          <w:szCs w:val="22"/>
        </w:rPr>
        <w:t>jeopardize</w:t>
      </w:r>
      <w:r w:rsidRPr="002A01F3">
        <w:rPr>
          <w:sz w:val="22"/>
          <w:szCs w:val="22"/>
        </w:rPr>
        <w:t xml:space="preserve"> decisions already taken and notified.</w:t>
      </w:r>
    </w:p>
    <w:p w14:paraId="5F86286B" w14:textId="0CA514FE" w:rsidR="003436FE" w:rsidRPr="002A01F3" w:rsidRDefault="007D65ED" w:rsidP="003436FE">
      <w:pPr>
        <w:spacing w:before="120" w:after="120"/>
        <w:jc w:val="both"/>
        <w:rPr>
          <w:sz w:val="22"/>
          <w:szCs w:val="22"/>
        </w:rPr>
      </w:pPr>
      <w:r>
        <w:rPr>
          <w:sz w:val="22"/>
          <w:szCs w:val="22"/>
        </w:rPr>
        <w:t xml:space="preserve"> </w:t>
      </w:r>
      <w:r w:rsidR="003436FE" w:rsidRPr="002A01F3">
        <w:rPr>
          <w:sz w:val="22"/>
          <w:szCs w:val="22"/>
        </w:rPr>
        <w:t xml:space="preserve">The outer envelope should provide the following information: </w:t>
      </w:r>
    </w:p>
    <w:p w14:paraId="38C97F51" w14:textId="77777777" w:rsidR="003436FE" w:rsidRPr="002A01F3" w:rsidRDefault="003436FE" w:rsidP="003436FE">
      <w:pPr>
        <w:numPr>
          <w:ilvl w:val="0"/>
          <w:numId w:val="24"/>
        </w:numPr>
        <w:tabs>
          <w:tab w:val="clear" w:pos="861"/>
        </w:tabs>
        <w:spacing w:before="120" w:after="120"/>
        <w:ind w:left="426" w:hanging="284"/>
        <w:rPr>
          <w:sz w:val="22"/>
          <w:szCs w:val="22"/>
        </w:rPr>
      </w:pPr>
      <w:r w:rsidRPr="002A01F3">
        <w:rPr>
          <w:sz w:val="22"/>
          <w:szCs w:val="22"/>
        </w:rPr>
        <w:t xml:space="preserve">the address for submitting tenders indicated above; </w:t>
      </w:r>
    </w:p>
    <w:p w14:paraId="2526163A" w14:textId="49E27A23" w:rsidR="003436FE" w:rsidRPr="002A01F3" w:rsidRDefault="003436FE" w:rsidP="003436FE">
      <w:pPr>
        <w:numPr>
          <w:ilvl w:val="0"/>
          <w:numId w:val="24"/>
        </w:numPr>
        <w:tabs>
          <w:tab w:val="clear" w:pos="861"/>
        </w:tabs>
        <w:spacing w:before="120" w:after="120"/>
        <w:ind w:left="426" w:hanging="284"/>
        <w:rPr>
          <w:sz w:val="22"/>
          <w:szCs w:val="22"/>
        </w:rPr>
      </w:pPr>
      <w:r w:rsidRPr="002A01F3">
        <w:rPr>
          <w:sz w:val="22"/>
          <w:szCs w:val="22"/>
        </w:rPr>
        <w:t>the reference code of the tender procedure (</w:t>
      </w:r>
      <w:proofErr w:type="gramStart"/>
      <w:r w:rsidRPr="002A01F3">
        <w:rPr>
          <w:sz w:val="22"/>
          <w:szCs w:val="22"/>
        </w:rPr>
        <w:t>i.e.</w:t>
      </w:r>
      <w:proofErr w:type="gramEnd"/>
      <w:r w:rsidRPr="002A01F3">
        <w:rPr>
          <w:sz w:val="22"/>
          <w:szCs w:val="22"/>
        </w:rPr>
        <w:t xml:space="preserve"> &lt;</w:t>
      </w:r>
      <w:r w:rsidR="002527FB" w:rsidRPr="002A01F3">
        <w:rPr>
          <w:sz w:val="22"/>
          <w:szCs w:val="22"/>
        </w:rPr>
        <w:t>EFFORT-02</w:t>
      </w:r>
      <w:r w:rsidRPr="002A01F3">
        <w:rPr>
          <w:sz w:val="22"/>
          <w:szCs w:val="22"/>
        </w:rPr>
        <w:t>&gt;);</w:t>
      </w:r>
    </w:p>
    <w:p w14:paraId="412F73B4" w14:textId="18A6A179" w:rsidR="003436FE" w:rsidRPr="002A01F3" w:rsidRDefault="003436FE" w:rsidP="003436FE">
      <w:pPr>
        <w:numPr>
          <w:ilvl w:val="0"/>
          <w:numId w:val="24"/>
        </w:numPr>
        <w:tabs>
          <w:tab w:val="clear" w:pos="861"/>
        </w:tabs>
        <w:spacing w:before="120" w:after="120"/>
        <w:ind w:left="426" w:hanging="284"/>
        <w:rPr>
          <w:sz w:val="22"/>
          <w:szCs w:val="22"/>
        </w:rPr>
      </w:pPr>
      <w:r w:rsidRPr="002A01F3">
        <w:rPr>
          <w:sz w:val="22"/>
          <w:szCs w:val="22"/>
        </w:rPr>
        <w:t>the words ‘Not to be opened before the tender-opening session’ and &lt;</w:t>
      </w:r>
      <w:proofErr w:type="spellStart"/>
      <w:r w:rsidR="00034330" w:rsidRPr="002A01F3">
        <w:rPr>
          <w:sz w:val="22"/>
          <w:szCs w:val="22"/>
        </w:rPr>
        <w:t>Të</w:t>
      </w:r>
      <w:proofErr w:type="spellEnd"/>
      <w:r w:rsidR="00034330" w:rsidRPr="002A01F3">
        <w:rPr>
          <w:sz w:val="22"/>
          <w:szCs w:val="22"/>
        </w:rPr>
        <w:t xml:space="preserve"> </w:t>
      </w:r>
      <w:proofErr w:type="spellStart"/>
      <w:r w:rsidR="00034330" w:rsidRPr="002A01F3">
        <w:rPr>
          <w:sz w:val="22"/>
          <w:szCs w:val="22"/>
        </w:rPr>
        <w:t>mos</w:t>
      </w:r>
      <w:proofErr w:type="spellEnd"/>
      <w:r w:rsidR="00034330" w:rsidRPr="002A01F3">
        <w:rPr>
          <w:sz w:val="22"/>
          <w:szCs w:val="22"/>
        </w:rPr>
        <w:t xml:space="preserve"> </w:t>
      </w:r>
      <w:proofErr w:type="spellStart"/>
      <w:r w:rsidR="00034330" w:rsidRPr="002A01F3">
        <w:rPr>
          <w:sz w:val="22"/>
          <w:szCs w:val="22"/>
        </w:rPr>
        <w:t>hapet</w:t>
      </w:r>
      <w:proofErr w:type="spellEnd"/>
      <w:r w:rsidR="00034330" w:rsidRPr="002A01F3">
        <w:rPr>
          <w:sz w:val="22"/>
          <w:szCs w:val="22"/>
        </w:rPr>
        <w:t xml:space="preserve"> para </w:t>
      </w:r>
      <w:proofErr w:type="spellStart"/>
      <w:r w:rsidR="00034330" w:rsidRPr="002A01F3">
        <w:rPr>
          <w:sz w:val="22"/>
          <w:szCs w:val="22"/>
        </w:rPr>
        <w:t>përfundimit</w:t>
      </w:r>
      <w:proofErr w:type="spellEnd"/>
      <w:r w:rsidR="00034330" w:rsidRPr="002A01F3">
        <w:rPr>
          <w:sz w:val="22"/>
          <w:szCs w:val="22"/>
        </w:rPr>
        <w:t xml:space="preserve"> </w:t>
      </w:r>
      <w:proofErr w:type="spellStart"/>
      <w:r w:rsidR="00034330" w:rsidRPr="002A01F3">
        <w:rPr>
          <w:sz w:val="22"/>
          <w:szCs w:val="22"/>
        </w:rPr>
        <w:t>të</w:t>
      </w:r>
      <w:proofErr w:type="spellEnd"/>
      <w:r w:rsidR="00034330" w:rsidRPr="002A01F3">
        <w:rPr>
          <w:sz w:val="22"/>
          <w:szCs w:val="22"/>
        </w:rPr>
        <w:t xml:space="preserve"> </w:t>
      </w:r>
      <w:proofErr w:type="spellStart"/>
      <w:r w:rsidR="00034330" w:rsidRPr="002A01F3">
        <w:rPr>
          <w:sz w:val="22"/>
          <w:szCs w:val="22"/>
        </w:rPr>
        <w:t>afatit</w:t>
      </w:r>
      <w:proofErr w:type="spellEnd"/>
      <w:r w:rsidR="00034330" w:rsidRPr="002A01F3">
        <w:rPr>
          <w:sz w:val="22"/>
          <w:szCs w:val="22"/>
        </w:rPr>
        <w:t xml:space="preserve"> </w:t>
      </w:r>
      <w:proofErr w:type="spellStart"/>
      <w:r w:rsidR="00034330" w:rsidRPr="002A01F3">
        <w:rPr>
          <w:sz w:val="22"/>
          <w:szCs w:val="22"/>
        </w:rPr>
        <w:t>të</w:t>
      </w:r>
      <w:proofErr w:type="spellEnd"/>
      <w:r w:rsidR="00034330" w:rsidRPr="002A01F3">
        <w:rPr>
          <w:sz w:val="22"/>
          <w:szCs w:val="22"/>
        </w:rPr>
        <w:t xml:space="preserve"> </w:t>
      </w:r>
      <w:proofErr w:type="spellStart"/>
      <w:r w:rsidR="00034330" w:rsidRPr="002A01F3">
        <w:rPr>
          <w:sz w:val="22"/>
          <w:szCs w:val="22"/>
        </w:rPr>
        <w:t>tenderit</w:t>
      </w:r>
      <w:proofErr w:type="spellEnd"/>
      <w:r w:rsidR="00034330" w:rsidRPr="002A01F3">
        <w:rPr>
          <w:sz w:val="22"/>
          <w:szCs w:val="22"/>
        </w:rPr>
        <w:t>”.</w:t>
      </w:r>
    </w:p>
    <w:p w14:paraId="5476A8EA" w14:textId="77777777" w:rsidR="003436FE" w:rsidRPr="002A01F3" w:rsidRDefault="003436FE" w:rsidP="003436FE">
      <w:pPr>
        <w:numPr>
          <w:ilvl w:val="0"/>
          <w:numId w:val="24"/>
        </w:numPr>
        <w:tabs>
          <w:tab w:val="clear" w:pos="861"/>
        </w:tabs>
        <w:spacing w:before="120" w:after="120"/>
        <w:ind w:left="426" w:hanging="284"/>
        <w:rPr>
          <w:sz w:val="22"/>
          <w:szCs w:val="22"/>
        </w:rPr>
      </w:pPr>
      <w:r w:rsidRPr="002A01F3">
        <w:rPr>
          <w:sz w:val="22"/>
          <w:szCs w:val="22"/>
        </w:rPr>
        <w:t>the name of the tenderer.</w:t>
      </w:r>
    </w:p>
    <w:p w14:paraId="5DBF46C4"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09667BE8" w14:textId="6644131F" w:rsidR="003436FE" w:rsidRPr="00EC5AD4" w:rsidRDefault="003436FE" w:rsidP="003436FE">
      <w:pPr>
        <w:spacing w:before="120" w:after="120"/>
        <w:jc w:val="both"/>
        <w:rPr>
          <w:sz w:val="22"/>
          <w:szCs w:val="22"/>
        </w:rPr>
      </w:pPr>
      <w:r w:rsidRPr="00EC5AD4">
        <w:rPr>
          <w:sz w:val="22"/>
          <w:szCs w:val="22"/>
        </w:rPr>
        <w:t xml:space="preserve">Tenderers may amend or withdraw their tenders by written notification </w:t>
      </w:r>
      <w:r w:rsidR="002527FB" w:rsidRPr="00EC5AD4">
        <w:rPr>
          <w:sz w:val="22"/>
          <w:szCs w:val="22"/>
        </w:rPr>
        <w:t>before</w:t>
      </w:r>
      <w:r w:rsidRPr="00EC5AD4">
        <w:rPr>
          <w:sz w:val="22"/>
          <w:szCs w:val="22"/>
        </w:rPr>
        <w:t xml:space="preserve"> the deadline for submitting tenders. Tenders may not be amended after this deadline.</w:t>
      </w:r>
    </w:p>
    <w:p w14:paraId="3BAC38AA" w14:textId="4B8D6F5B" w:rsidR="003436FE" w:rsidRPr="002B370E" w:rsidRDefault="003436FE" w:rsidP="003436FE">
      <w:pPr>
        <w:spacing w:before="120" w:after="120"/>
        <w:jc w:val="both"/>
        <w:rPr>
          <w:sz w:val="22"/>
          <w:szCs w:val="22"/>
        </w:rPr>
      </w:pPr>
      <w:r w:rsidRPr="00EC5AD4">
        <w:rPr>
          <w:sz w:val="22"/>
          <w:szCs w:val="22"/>
        </w:rPr>
        <w:t>Any such notification of amendment or withdrawal must be prepared and submitted in accordance with</w:t>
      </w:r>
      <w:r w:rsidR="008E6FB3" w:rsidRPr="00EC5AD4">
        <w:rPr>
          <w:sz w:val="22"/>
          <w:szCs w:val="22"/>
        </w:rPr>
        <w:t xml:space="preserve"> c</w:t>
      </w:r>
      <w:r w:rsidRPr="00EC5AD4">
        <w:rPr>
          <w:sz w:val="22"/>
          <w:szCs w:val="22"/>
        </w:rPr>
        <w:t xml:space="preserve">lause </w:t>
      </w:r>
      <w:r w:rsidRPr="00EC5AD4">
        <w:rPr>
          <w:sz w:val="22"/>
          <w:szCs w:val="22"/>
        </w:rPr>
        <w:fldChar w:fldCharType="begin"/>
      </w:r>
      <w:r w:rsidRPr="00EC5AD4">
        <w:rPr>
          <w:sz w:val="22"/>
          <w:szCs w:val="22"/>
        </w:rPr>
        <w:instrText xml:space="preserve"> REF _Ref499982672 \r \h  \* MERGEFORMAT </w:instrText>
      </w:r>
      <w:r w:rsidRPr="00EC5AD4">
        <w:rPr>
          <w:sz w:val="22"/>
          <w:szCs w:val="22"/>
        </w:rPr>
      </w:r>
      <w:r w:rsidRPr="00EC5AD4">
        <w:rPr>
          <w:sz w:val="22"/>
          <w:szCs w:val="22"/>
        </w:rPr>
        <w:fldChar w:fldCharType="separate"/>
      </w:r>
      <w:r w:rsidR="003C5CBF" w:rsidRPr="00EC5AD4">
        <w:rPr>
          <w:sz w:val="22"/>
          <w:szCs w:val="22"/>
        </w:rPr>
        <w:t>8</w:t>
      </w:r>
      <w:r w:rsidRPr="00EC5AD4">
        <w:rPr>
          <w:sz w:val="22"/>
          <w:szCs w:val="22"/>
        </w:rPr>
        <w:fldChar w:fldCharType="end"/>
      </w:r>
      <w:r w:rsidRPr="00EC5AD4">
        <w:rPr>
          <w:sz w:val="22"/>
          <w:szCs w:val="22"/>
        </w:rPr>
        <w:t>. The outer envelope (and the relevant inner envelope) must be marked ‘Amendment’ or ‘Withdrawal’ as appropriate.</w:t>
      </w:r>
    </w:p>
    <w:p w14:paraId="5906B33D"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14:paraId="7117110F" w14:textId="1F9DF88C"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p>
    <w:p w14:paraId="1CF66DDA"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34E11259" w14:textId="4FB6C9DE" w:rsidR="003436FE" w:rsidRPr="002B370E" w:rsidRDefault="003436FE" w:rsidP="003436FE">
      <w:pPr>
        <w:spacing w:before="120" w:after="120"/>
        <w:jc w:val="both"/>
        <w:rPr>
          <w:sz w:val="22"/>
          <w:szCs w:val="22"/>
        </w:rPr>
      </w:pPr>
      <w:r w:rsidRPr="002B370E">
        <w:rPr>
          <w:sz w:val="22"/>
          <w:szCs w:val="22"/>
        </w:rPr>
        <w:t xml:space="preserve">The </w:t>
      </w:r>
      <w:r w:rsidR="00B16907">
        <w:rPr>
          <w:sz w:val="22"/>
          <w:szCs w:val="22"/>
        </w:rPr>
        <w:t>c</w:t>
      </w:r>
      <w:r w:rsidRPr="002B370E">
        <w:rPr>
          <w:sz w:val="22"/>
          <w:szCs w:val="22"/>
        </w:rPr>
        <w:t xml:space="preserve">ontracting </w:t>
      </w:r>
      <w:r w:rsidR="00B16907">
        <w:rPr>
          <w:sz w:val="22"/>
          <w:szCs w:val="22"/>
        </w:rPr>
        <w:t>a</w:t>
      </w:r>
      <w:r w:rsidRPr="002B370E">
        <w:rPr>
          <w:sz w:val="22"/>
          <w:szCs w:val="22"/>
        </w:rPr>
        <w:t>uthority retains ownership of all tenders received under this tendering procedure.</w:t>
      </w:r>
    </w:p>
    <w:p w14:paraId="3989A51E" w14:textId="77777777" w:rsidR="003436FE" w:rsidRDefault="003436FE" w:rsidP="003436FE">
      <w:pPr>
        <w:numPr>
          <w:ilvl w:val="0"/>
          <w:numId w:val="26"/>
        </w:numPr>
        <w:spacing w:before="120" w:after="120"/>
        <w:jc w:val="both"/>
        <w:rPr>
          <w:b/>
          <w:sz w:val="24"/>
          <w:szCs w:val="24"/>
        </w:rPr>
      </w:pPr>
      <w:r w:rsidRPr="002B370E">
        <w:rPr>
          <w:b/>
          <w:sz w:val="24"/>
          <w:szCs w:val="24"/>
        </w:rPr>
        <w:t>Evaluation of tenders</w:t>
      </w:r>
    </w:p>
    <w:p w14:paraId="70903FFF" w14:textId="77777777" w:rsidR="00862269" w:rsidRDefault="00862269" w:rsidP="00442485">
      <w:pPr>
        <w:pStyle w:val="Numbered"/>
        <w:numPr>
          <w:ilvl w:val="0"/>
          <w:numId w:val="0"/>
        </w:numPr>
        <w:spacing w:before="120" w:after="60"/>
        <w:rPr>
          <w:sz w:val="22"/>
          <w:szCs w:val="22"/>
        </w:rPr>
      </w:pPr>
      <w:r w:rsidRPr="00442485">
        <w:rPr>
          <w:sz w:val="22"/>
          <w:szCs w:val="22"/>
        </w:rPr>
        <w:t>The opening of the received tenders is not public.</w:t>
      </w:r>
    </w:p>
    <w:p w14:paraId="68F3FA24" w14:textId="77777777" w:rsidR="00862269" w:rsidRPr="00442485" w:rsidRDefault="00862269" w:rsidP="00442485">
      <w:pPr>
        <w:pStyle w:val="Numbered"/>
        <w:numPr>
          <w:ilvl w:val="0"/>
          <w:numId w:val="0"/>
        </w:numPr>
        <w:spacing w:before="120" w:after="60"/>
        <w:rPr>
          <w:sz w:val="22"/>
          <w:szCs w:val="22"/>
        </w:rPr>
      </w:pPr>
      <w:r w:rsidRPr="00442485">
        <w:rPr>
          <w:sz w:val="22"/>
          <w:szCs w:val="22"/>
        </w:rPr>
        <w:t>Once the contracting authority has opened the tenders, they shall become its property and will be treated confidentially.</w:t>
      </w:r>
    </w:p>
    <w:p w14:paraId="72D0357B"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20FE7F31" w14:textId="3A9B201F" w:rsidR="00986E5D" w:rsidRDefault="003436FE" w:rsidP="000E38EE">
      <w:pPr>
        <w:spacing w:before="120" w:after="120"/>
        <w:jc w:val="both"/>
        <w:rPr>
          <w:sz w:val="22"/>
          <w:szCs w:val="22"/>
        </w:rPr>
      </w:pPr>
      <w:r w:rsidRPr="002B370E">
        <w:rPr>
          <w:sz w:val="22"/>
          <w:szCs w:val="22"/>
        </w:rPr>
        <w:lastRenderedPageBreak/>
        <w:t>The quality of each technical offer will be evaluated in accordance with the award criteria and the weighting detailed in the evaluation grid</w:t>
      </w:r>
      <w:r w:rsidR="00986E5D">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7"/>
        <w:gridCol w:w="1500"/>
      </w:tblGrid>
      <w:tr w:rsidR="00DE5E66" w:rsidRPr="001B3873" w14:paraId="62D24F6E" w14:textId="77777777" w:rsidTr="00B0167F">
        <w:trPr>
          <w:cantSplit/>
          <w:jc w:val="center"/>
        </w:trPr>
        <w:tc>
          <w:tcPr>
            <w:tcW w:w="4947" w:type="dxa"/>
          </w:tcPr>
          <w:p w14:paraId="2C9B03EE" w14:textId="77777777" w:rsidR="00DE5E66" w:rsidRPr="00430315" w:rsidRDefault="00DE5E66" w:rsidP="00B0167F">
            <w:pPr>
              <w:rPr>
                <w:b/>
                <w:sz w:val="22"/>
                <w:szCs w:val="22"/>
              </w:rPr>
            </w:pPr>
          </w:p>
        </w:tc>
        <w:tc>
          <w:tcPr>
            <w:tcW w:w="1500" w:type="dxa"/>
            <w:shd w:val="clear" w:color="auto" w:fill="auto"/>
          </w:tcPr>
          <w:p w14:paraId="51F29887" w14:textId="77777777" w:rsidR="00DE5E66" w:rsidRPr="001B3873" w:rsidRDefault="00DE5E66" w:rsidP="00B0167F">
            <w:pPr>
              <w:jc w:val="center"/>
              <w:rPr>
                <w:b/>
                <w:sz w:val="22"/>
                <w:szCs w:val="22"/>
              </w:rPr>
            </w:pPr>
            <w:r w:rsidRPr="001B3873">
              <w:rPr>
                <w:b/>
                <w:sz w:val="22"/>
                <w:szCs w:val="22"/>
              </w:rPr>
              <w:t xml:space="preserve">Maximum </w:t>
            </w:r>
          </w:p>
        </w:tc>
      </w:tr>
      <w:tr w:rsidR="00DE5E66" w:rsidRPr="001B3873" w14:paraId="76C1F2E8" w14:textId="77777777" w:rsidTr="00B0167F">
        <w:trPr>
          <w:cantSplit/>
          <w:jc w:val="center"/>
        </w:trPr>
        <w:tc>
          <w:tcPr>
            <w:tcW w:w="4947" w:type="dxa"/>
            <w:shd w:val="clear" w:color="auto" w:fill="auto"/>
          </w:tcPr>
          <w:p w14:paraId="393E0761" w14:textId="70FFA81B" w:rsidR="00DE5E66" w:rsidRPr="001B3873" w:rsidRDefault="00DE5E66" w:rsidP="00B0167F">
            <w:pPr>
              <w:rPr>
                <w:b/>
                <w:sz w:val="22"/>
                <w:szCs w:val="22"/>
              </w:rPr>
            </w:pPr>
            <w:r w:rsidRPr="001B3873">
              <w:rPr>
                <w:b/>
                <w:sz w:val="22"/>
                <w:szCs w:val="22"/>
              </w:rPr>
              <w:t xml:space="preserve">Organisation and </w:t>
            </w:r>
            <w:r w:rsidR="002527FB">
              <w:rPr>
                <w:b/>
                <w:sz w:val="22"/>
                <w:szCs w:val="22"/>
              </w:rPr>
              <w:t>Methodology</w:t>
            </w:r>
          </w:p>
        </w:tc>
        <w:tc>
          <w:tcPr>
            <w:tcW w:w="1500" w:type="dxa"/>
            <w:shd w:val="clear" w:color="auto" w:fill="auto"/>
          </w:tcPr>
          <w:p w14:paraId="1BADD49B" w14:textId="77777777" w:rsidR="00DE5E66" w:rsidRPr="001B3873" w:rsidRDefault="00DE5E66" w:rsidP="00B0167F">
            <w:pPr>
              <w:jc w:val="center"/>
              <w:rPr>
                <w:b/>
                <w:sz w:val="22"/>
                <w:szCs w:val="22"/>
              </w:rPr>
            </w:pPr>
          </w:p>
        </w:tc>
      </w:tr>
      <w:tr w:rsidR="00DE5E66" w:rsidRPr="001B3873" w14:paraId="13028F71" w14:textId="77777777" w:rsidTr="00B0167F">
        <w:trPr>
          <w:cantSplit/>
          <w:jc w:val="center"/>
        </w:trPr>
        <w:tc>
          <w:tcPr>
            <w:tcW w:w="4947" w:type="dxa"/>
          </w:tcPr>
          <w:p w14:paraId="09909BC1" w14:textId="77777777" w:rsidR="00DE5E66" w:rsidRPr="001B3873" w:rsidRDefault="00DE5E66" w:rsidP="00B0167F">
            <w:pPr>
              <w:rPr>
                <w:sz w:val="22"/>
                <w:szCs w:val="22"/>
              </w:rPr>
            </w:pPr>
          </w:p>
        </w:tc>
        <w:tc>
          <w:tcPr>
            <w:tcW w:w="1500" w:type="dxa"/>
          </w:tcPr>
          <w:p w14:paraId="0BB3FD21" w14:textId="77777777" w:rsidR="00DE5E66" w:rsidRPr="001B3873" w:rsidRDefault="00DE5E66" w:rsidP="00B0167F">
            <w:pPr>
              <w:jc w:val="center"/>
              <w:rPr>
                <w:sz w:val="22"/>
                <w:szCs w:val="22"/>
              </w:rPr>
            </w:pPr>
          </w:p>
        </w:tc>
      </w:tr>
      <w:tr w:rsidR="00DE5E66" w:rsidRPr="001B3873" w14:paraId="5F7C0E8F" w14:textId="77777777" w:rsidTr="00B0167F">
        <w:trPr>
          <w:cantSplit/>
          <w:jc w:val="center"/>
        </w:trPr>
        <w:tc>
          <w:tcPr>
            <w:tcW w:w="4947" w:type="dxa"/>
          </w:tcPr>
          <w:p w14:paraId="64459B38" w14:textId="1021EE7E" w:rsidR="00DE5E66" w:rsidRPr="001B3873" w:rsidRDefault="00DE5E66" w:rsidP="00B0167F">
            <w:pPr>
              <w:rPr>
                <w:sz w:val="22"/>
                <w:szCs w:val="22"/>
              </w:rPr>
            </w:pPr>
            <w:r w:rsidRPr="001B3873">
              <w:rPr>
                <w:sz w:val="22"/>
                <w:szCs w:val="22"/>
              </w:rPr>
              <w:t>Rationale</w:t>
            </w:r>
          </w:p>
        </w:tc>
        <w:tc>
          <w:tcPr>
            <w:tcW w:w="1500" w:type="dxa"/>
          </w:tcPr>
          <w:p w14:paraId="5D60A3E2" w14:textId="06FCC4F4" w:rsidR="00DE5E66" w:rsidRPr="001B3873" w:rsidRDefault="00500A09" w:rsidP="00B0167F">
            <w:pPr>
              <w:jc w:val="right"/>
              <w:rPr>
                <w:sz w:val="22"/>
                <w:szCs w:val="22"/>
              </w:rPr>
            </w:pPr>
            <w:r>
              <w:rPr>
                <w:sz w:val="22"/>
                <w:szCs w:val="22"/>
              </w:rPr>
              <w:t>5</w:t>
            </w:r>
          </w:p>
        </w:tc>
      </w:tr>
      <w:tr w:rsidR="005112FA" w:rsidRPr="001B3873" w14:paraId="633D1F5B" w14:textId="77777777" w:rsidTr="00B0167F">
        <w:trPr>
          <w:cantSplit/>
          <w:jc w:val="center"/>
        </w:trPr>
        <w:tc>
          <w:tcPr>
            <w:tcW w:w="4947" w:type="dxa"/>
          </w:tcPr>
          <w:p w14:paraId="769D7E05" w14:textId="2767E528" w:rsidR="005112FA" w:rsidRPr="001B3873" w:rsidRDefault="00AF52E8" w:rsidP="00B0167F">
            <w:pPr>
              <w:rPr>
                <w:sz w:val="22"/>
                <w:szCs w:val="22"/>
              </w:rPr>
            </w:pPr>
            <w:r w:rsidRPr="001B3873">
              <w:rPr>
                <w:sz w:val="22"/>
                <w:szCs w:val="22"/>
              </w:rPr>
              <w:t>Strategy</w:t>
            </w:r>
          </w:p>
        </w:tc>
        <w:tc>
          <w:tcPr>
            <w:tcW w:w="1500" w:type="dxa"/>
          </w:tcPr>
          <w:p w14:paraId="12F88619" w14:textId="6AB7A686" w:rsidR="005112FA" w:rsidRPr="001B3873" w:rsidRDefault="002527FB" w:rsidP="00B0167F">
            <w:pPr>
              <w:jc w:val="right"/>
              <w:rPr>
                <w:sz w:val="22"/>
                <w:szCs w:val="22"/>
              </w:rPr>
            </w:pPr>
            <w:r>
              <w:rPr>
                <w:sz w:val="22"/>
                <w:szCs w:val="22"/>
              </w:rPr>
              <w:t>10</w:t>
            </w:r>
          </w:p>
        </w:tc>
      </w:tr>
      <w:tr w:rsidR="001B2C67" w:rsidRPr="001B3873" w14:paraId="0ACC34D2" w14:textId="77777777" w:rsidTr="00B0167F">
        <w:trPr>
          <w:cantSplit/>
          <w:jc w:val="center"/>
        </w:trPr>
        <w:tc>
          <w:tcPr>
            <w:tcW w:w="4947" w:type="dxa"/>
          </w:tcPr>
          <w:p w14:paraId="01A13380" w14:textId="45ACEE11" w:rsidR="001B2C67" w:rsidRPr="001B2C67" w:rsidRDefault="00500A09" w:rsidP="00B0167F">
            <w:pPr>
              <w:rPr>
                <w:sz w:val="22"/>
                <w:szCs w:val="22"/>
                <w:lang w:val="fr-BE"/>
              </w:rPr>
            </w:pPr>
            <w:proofErr w:type="spellStart"/>
            <w:r>
              <w:rPr>
                <w:sz w:val="22"/>
                <w:szCs w:val="22"/>
                <w:lang w:val="fr-BE"/>
              </w:rPr>
              <w:t>Capacity</w:t>
            </w:r>
            <w:proofErr w:type="spellEnd"/>
          </w:p>
        </w:tc>
        <w:tc>
          <w:tcPr>
            <w:tcW w:w="1500" w:type="dxa"/>
          </w:tcPr>
          <w:p w14:paraId="20417903" w14:textId="1635CC0F" w:rsidR="001B2C67" w:rsidRPr="001B3873" w:rsidRDefault="00500A09" w:rsidP="00B0167F">
            <w:pPr>
              <w:jc w:val="right"/>
              <w:rPr>
                <w:sz w:val="22"/>
                <w:szCs w:val="22"/>
              </w:rPr>
            </w:pPr>
            <w:r>
              <w:rPr>
                <w:sz w:val="22"/>
                <w:szCs w:val="22"/>
              </w:rPr>
              <w:t>5</w:t>
            </w:r>
          </w:p>
        </w:tc>
      </w:tr>
      <w:tr w:rsidR="00DE5E66" w:rsidRPr="001B3873" w14:paraId="5A157814" w14:textId="77777777" w:rsidTr="00B0167F">
        <w:trPr>
          <w:cantSplit/>
          <w:jc w:val="center"/>
        </w:trPr>
        <w:tc>
          <w:tcPr>
            <w:tcW w:w="4947" w:type="dxa"/>
          </w:tcPr>
          <w:p w14:paraId="6F03C746" w14:textId="00C7184A" w:rsidR="00DE5E66" w:rsidRPr="001B3873" w:rsidRDefault="00DE5E66" w:rsidP="00B0167F">
            <w:pPr>
              <w:rPr>
                <w:sz w:val="22"/>
                <w:szCs w:val="22"/>
              </w:rPr>
            </w:pPr>
            <w:r w:rsidRPr="001B3873">
              <w:rPr>
                <w:sz w:val="22"/>
                <w:szCs w:val="22"/>
              </w:rPr>
              <w:t>Timetable of activities</w:t>
            </w:r>
          </w:p>
        </w:tc>
        <w:tc>
          <w:tcPr>
            <w:tcW w:w="1500" w:type="dxa"/>
          </w:tcPr>
          <w:p w14:paraId="7F00BB11" w14:textId="711B971F" w:rsidR="00DE5E66" w:rsidRPr="001B3873" w:rsidRDefault="00AF52E8" w:rsidP="00B0167F">
            <w:pPr>
              <w:jc w:val="right"/>
              <w:rPr>
                <w:sz w:val="22"/>
                <w:szCs w:val="22"/>
              </w:rPr>
            </w:pPr>
            <w:r w:rsidRPr="001B3873">
              <w:rPr>
                <w:sz w:val="22"/>
                <w:szCs w:val="22"/>
              </w:rPr>
              <w:t>20</w:t>
            </w:r>
          </w:p>
        </w:tc>
      </w:tr>
      <w:tr w:rsidR="00EA3F5A" w:rsidRPr="001B3873" w14:paraId="4B7010CA" w14:textId="77777777" w:rsidTr="00B0167F">
        <w:trPr>
          <w:cantSplit/>
          <w:jc w:val="center"/>
        </w:trPr>
        <w:tc>
          <w:tcPr>
            <w:tcW w:w="4947" w:type="dxa"/>
          </w:tcPr>
          <w:p w14:paraId="72D347ED" w14:textId="77777777" w:rsidR="00EA3F5A" w:rsidRPr="001B3873" w:rsidRDefault="00EA3F5A" w:rsidP="00B0167F">
            <w:pPr>
              <w:rPr>
                <w:sz w:val="22"/>
                <w:szCs w:val="22"/>
              </w:rPr>
            </w:pPr>
          </w:p>
        </w:tc>
        <w:tc>
          <w:tcPr>
            <w:tcW w:w="1500" w:type="dxa"/>
          </w:tcPr>
          <w:p w14:paraId="2E7B4E1A" w14:textId="77777777" w:rsidR="00EA3F5A" w:rsidRPr="001B3873" w:rsidRDefault="00EA3F5A" w:rsidP="00B0167F">
            <w:pPr>
              <w:jc w:val="right"/>
              <w:rPr>
                <w:sz w:val="22"/>
                <w:szCs w:val="22"/>
              </w:rPr>
            </w:pPr>
          </w:p>
        </w:tc>
      </w:tr>
      <w:tr w:rsidR="00DE5E66" w:rsidRPr="001B3873" w14:paraId="6B53134F" w14:textId="77777777" w:rsidTr="00B0167F">
        <w:trPr>
          <w:cantSplit/>
          <w:jc w:val="center"/>
        </w:trPr>
        <w:tc>
          <w:tcPr>
            <w:tcW w:w="4947" w:type="dxa"/>
            <w:shd w:val="clear" w:color="auto" w:fill="auto"/>
          </w:tcPr>
          <w:p w14:paraId="76AB7BF6" w14:textId="4929F859" w:rsidR="00DE5E66" w:rsidRPr="001B3873" w:rsidRDefault="00EA3F5A" w:rsidP="00B0167F">
            <w:pPr>
              <w:rPr>
                <w:b/>
                <w:sz w:val="22"/>
                <w:szCs w:val="22"/>
              </w:rPr>
            </w:pPr>
            <w:r w:rsidRPr="001B3873">
              <w:rPr>
                <w:b/>
                <w:sz w:val="22"/>
                <w:szCs w:val="22"/>
              </w:rPr>
              <w:t xml:space="preserve">Expertise provided by the </w:t>
            </w:r>
            <w:r w:rsidR="002527FB">
              <w:rPr>
                <w:b/>
                <w:sz w:val="22"/>
                <w:szCs w:val="22"/>
              </w:rPr>
              <w:t>consultant</w:t>
            </w:r>
          </w:p>
        </w:tc>
        <w:tc>
          <w:tcPr>
            <w:tcW w:w="1500" w:type="dxa"/>
            <w:shd w:val="clear" w:color="auto" w:fill="auto"/>
          </w:tcPr>
          <w:p w14:paraId="2BBF775E" w14:textId="77777777" w:rsidR="00DE5E66" w:rsidRPr="001B3873" w:rsidRDefault="00DE5E66" w:rsidP="00B0167F">
            <w:pPr>
              <w:jc w:val="center"/>
              <w:rPr>
                <w:b/>
                <w:sz w:val="22"/>
                <w:szCs w:val="22"/>
              </w:rPr>
            </w:pPr>
          </w:p>
        </w:tc>
      </w:tr>
      <w:tr w:rsidR="00DE5E66" w:rsidRPr="001B3873" w14:paraId="20BC7A49" w14:textId="77777777" w:rsidTr="00B0167F">
        <w:trPr>
          <w:cantSplit/>
          <w:jc w:val="center"/>
        </w:trPr>
        <w:tc>
          <w:tcPr>
            <w:tcW w:w="4947" w:type="dxa"/>
            <w:shd w:val="clear" w:color="auto" w:fill="auto"/>
          </w:tcPr>
          <w:p w14:paraId="6D18A672" w14:textId="77777777" w:rsidR="00DE5E66" w:rsidRPr="001B3873" w:rsidRDefault="00DE5E66" w:rsidP="00B0167F">
            <w:pPr>
              <w:rPr>
                <w:sz w:val="22"/>
                <w:szCs w:val="22"/>
              </w:rPr>
            </w:pPr>
          </w:p>
        </w:tc>
        <w:tc>
          <w:tcPr>
            <w:tcW w:w="1500" w:type="dxa"/>
            <w:shd w:val="clear" w:color="auto" w:fill="auto"/>
          </w:tcPr>
          <w:p w14:paraId="65B66137" w14:textId="77777777" w:rsidR="00DE5E66" w:rsidRPr="001B3873" w:rsidRDefault="00DE5E66" w:rsidP="00B0167F">
            <w:pPr>
              <w:jc w:val="center"/>
              <w:rPr>
                <w:sz w:val="22"/>
                <w:szCs w:val="22"/>
              </w:rPr>
            </w:pPr>
          </w:p>
        </w:tc>
      </w:tr>
      <w:tr w:rsidR="00DE5E66" w:rsidRPr="001B3873" w14:paraId="340F8E30" w14:textId="77777777" w:rsidTr="00B0167F">
        <w:trPr>
          <w:cantSplit/>
          <w:jc w:val="center"/>
        </w:trPr>
        <w:tc>
          <w:tcPr>
            <w:tcW w:w="4947" w:type="dxa"/>
            <w:shd w:val="clear" w:color="auto" w:fill="auto"/>
          </w:tcPr>
          <w:p w14:paraId="459D9083" w14:textId="5546703F" w:rsidR="00DE5E66" w:rsidRPr="001B3873" w:rsidRDefault="00DE5E66" w:rsidP="00B0167F">
            <w:pPr>
              <w:rPr>
                <w:sz w:val="22"/>
                <w:szCs w:val="22"/>
              </w:rPr>
            </w:pPr>
            <w:r w:rsidRPr="001B3873">
              <w:rPr>
                <w:sz w:val="22"/>
                <w:szCs w:val="22"/>
              </w:rPr>
              <w:t>Qualifications and skills</w:t>
            </w:r>
          </w:p>
        </w:tc>
        <w:tc>
          <w:tcPr>
            <w:tcW w:w="1500" w:type="dxa"/>
            <w:shd w:val="clear" w:color="auto" w:fill="auto"/>
          </w:tcPr>
          <w:p w14:paraId="48BDCA88" w14:textId="77603D44" w:rsidR="00DE5E66" w:rsidRPr="001B3873" w:rsidRDefault="00AF52E8" w:rsidP="00B0167F">
            <w:pPr>
              <w:jc w:val="right"/>
              <w:rPr>
                <w:sz w:val="22"/>
                <w:szCs w:val="22"/>
              </w:rPr>
            </w:pPr>
            <w:r w:rsidRPr="001B3873">
              <w:rPr>
                <w:sz w:val="22"/>
                <w:szCs w:val="22"/>
              </w:rPr>
              <w:t>20</w:t>
            </w:r>
          </w:p>
        </w:tc>
      </w:tr>
      <w:tr w:rsidR="00DE5E66" w:rsidRPr="001B3873" w14:paraId="05568D14" w14:textId="77777777" w:rsidTr="00B0167F">
        <w:trPr>
          <w:cantSplit/>
          <w:jc w:val="center"/>
        </w:trPr>
        <w:tc>
          <w:tcPr>
            <w:tcW w:w="4947" w:type="dxa"/>
            <w:shd w:val="clear" w:color="auto" w:fill="auto"/>
          </w:tcPr>
          <w:p w14:paraId="53CE858D" w14:textId="45D12807" w:rsidR="00DE5E66" w:rsidRPr="001B3873" w:rsidRDefault="00DE5E66" w:rsidP="00B0167F">
            <w:pPr>
              <w:rPr>
                <w:sz w:val="22"/>
                <w:szCs w:val="22"/>
              </w:rPr>
            </w:pPr>
            <w:r w:rsidRPr="001B3873">
              <w:rPr>
                <w:sz w:val="22"/>
                <w:szCs w:val="22"/>
              </w:rPr>
              <w:t>General professional experience</w:t>
            </w:r>
          </w:p>
        </w:tc>
        <w:tc>
          <w:tcPr>
            <w:tcW w:w="1500" w:type="dxa"/>
            <w:shd w:val="clear" w:color="auto" w:fill="auto"/>
          </w:tcPr>
          <w:p w14:paraId="34E66251" w14:textId="2C88FFB9" w:rsidR="00DE5E66" w:rsidRPr="001B3873" w:rsidRDefault="00AF52E8" w:rsidP="00B0167F">
            <w:pPr>
              <w:jc w:val="right"/>
              <w:rPr>
                <w:sz w:val="22"/>
                <w:szCs w:val="22"/>
              </w:rPr>
            </w:pPr>
            <w:r w:rsidRPr="001B3873">
              <w:rPr>
                <w:sz w:val="22"/>
                <w:szCs w:val="22"/>
              </w:rPr>
              <w:t>10</w:t>
            </w:r>
          </w:p>
        </w:tc>
      </w:tr>
      <w:tr w:rsidR="00DE5E66" w:rsidRPr="001B3873" w14:paraId="338CB45A" w14:textId="77777777" w:rsidTr="00B0167F">
        <w:trPr>
          <w:cantSplit/>
          <w:jc w:val="center"/>
        </w:trPr>
        <w:tc>
          <w:tcPr>
            <w:tcW w:w="4947" w:type="dxa"/>
            <w:shd w:val="clear" w:color="auto" w:fill="auto"/>
          </w:tcPr>
          <w:p w14:paraId="646EEEF6" w14:textId="12D5D9BC" w:rsidR="00DE5E66" w:rsidRPr="001B3873" w:rsidRDefault="00DE5E66" w:rsidP="00B0167F">
            <w:pPr>
              <w:rPr>
                <w:sz w:val="22"/>
                <w:szCs w:val="22"/>
              </w:rPr>
            </w:pPr>
            <w:r w:rsidRPr="001B3873">
              <w:rPr>
                <w:sz w:val="22"/>
                <w:szCs w:val="22"/>
              </w:rPr>
              <w:t>Specific professional experience</w:t>
            </w:r>
          </w:p>
        </w:tc>
        <w:tc>
          <w:tcPr>
            <w:tcW w:w="1500" w:type="dxa"/>
            <w:shd w:val="clear" w:color="auto" w:fill="auto"/>
          </w:tcPr>
          <w:p w14:paraId="0ED24423" w14:textId="57BF8694" w:rsidR="00DE5E66" w:rsidRPr="001B3873" w:rsidRDefault="00AF52E8" w:rsidP="00B0167F">
            <w:pPr>
              <w:jc w:val="right"/>
              <w:rPr>
                <w:sz w:val="22"/>
                <w:szCs w:val="22"/>
              </w:rPr>
            </w:pPr>
            <w:r w:rsidRPr="001B3873">
              <w:rPr>
                <w:sz w:val="22"/>
                <w:szCs w:val="22"/>
              </w:rPr>
              <w:t>30</w:t>
            </w:r>
          </w:p>
        </w:tc>
      </w:tr>
      <w:tr w:rsidR="00DE5E66" w:rsidRPr="001B3873" w14:paraId="6F7CF8E1" w14:textId="77777777" w:rsidTr="00B0167F">
        <w:trPr>
          <w:cantSplit/>
          <w:jc w:val="center"/>
        </w:trPr>
        <w:tc>
          <w:tcPr>
            <w:tcW w:w="4947" w:type="dxa"/>
            <w:shd w:val="clear" w:color="auto" w:fill="auto"/>
          </w:tcPr>
          <w:p w14:paraId="37EFBF08" w14:textId="77777777" w:rsidR="00DE5E66" w:rsidRPr="001B3873" w:rsidRDefault="00DE5E66" w:rsidP="00B0167F">
            <w:pPr>
              <w:rPr>
                <w:b/>
                <w:sz w:val="22"/>
                <w:szCs w:val="22"/>
              </w:rPr>
            </w:pPr>
          </w:p>
        </w:tc>
        <w:tc>
          <w:tcPr>
            <w:tcW w:w="1500" w:type="dxa"/>
            <w:shd w:val="clear" w:color="auto" w:fill="auto"/>
          </w:tcPr>
          <w:p w14:paraId="038063B0" w14:textId="77777777" w:rsidR="00DE5E66" w:rsidRPr="001B3873" w:rsidRDefault="00DE5E66" w:rsidP="00B0167F">
            <w:pPr>
              <w:jc w:val="center"/>
              <w:rPr>
                <w:b/>
                <w:sz w:val="22"/>
                <w:szCs w:val="22"/>
              </w:rPr>
            </w:pPr>
          </w:p>
        </w:tc>
      </w:tr>
      <w:tr w:rsidR="00DE5E66" w:rsidRPr="001B3873" w14:paraId="3844436C" w14:textId="77777777" w:rsidTr="00B0167F">
        <w:trPr>
          <w:cantSplit/>
          <w:jc w:val="center"/>
        </w:trPr>
        <w:tc>
          <w:tcPr>
            <w:tcW w:w="4947" w:type="dxa"/>
            <w:shd w:val="clear" w:color="auto" w:fill="auto"/>
          </w:tcPr>
          <w:p w14:paraId="07F83A1B" w14:textId="77777777" w:rsidR="00DE5E66" w:rsidRPr="001B3873" w:rsidRDefault="00DE5E66" w:rsidP="00B0167F">
            <w:pPr>
              <w:rPr>
                <w:b/>
                <w:sz w:val="22"/>
                <w:szCs w:val="22"/>
              </w:rPr>
            </w:pPr>
          </w:p>
        </w:tc>
        <w:tc>
          <w:tcPr>
            <w:tcW w:w="1500" w:type="dxa"/>
            <w:shd w:val="clear" w:color="auto" w:fill="auto"/>
          </w:tcPr>
          <w:p w14:paraId="58D9D81A" w14:textId="77777777" w:rsidR="00DE5E66" w:rsidRPr="001B3873" w:rsidRDefault="00DE5E66" w:rsidP="00B0167F">
            <w:pPr>
              <w:jc w:val="center"/>
              <w:rPr>
                <w:b/>
                <w:sz w:val="22"/>
                <w:szCs w:val="22"/>
              </w:rPr>
            </w:pPr>
          </w:p>
        </w:tc>
      </w:tr>
      <w:tr w:rsidR="00DE5E66" w:rsidRPr="00430315" w14:paraId="4E2918E0" w14:textId="77777777" w:rsidTr="00B0167F">
        <w:trPr>
          <w:cantSplit/>
          <w:jc w:val="center"/>
        </w:trPr>
        <w:tc>
          <w:tcPr>
            <w:tcW w:w="4947" w:type="dxa"/>
            <w:shd w:val="clear" w:color="auto" w:fill="auto"/>
          </w:tcPr>
          <w:p w14:paraId="2DDB683E" w14:textId="77777777" w:rsidR="00DE5E66" w:rsidRPr="001B3873" w:rsidRDefault="00DE5E66" w:rsidP="00B0167F">
            <w:pPr>
              <w:rPr>
                <w:b/>
                <w:sz w:val="22"/>
                <w:szCs w:val="22"/>
              </w:rPr>
            </w:pPr>
            <w:r w:rsidRPr="001B3873">
              <w:rPr>
                <w:b/>
                <w:sz w:val="22"/>
                <w:szCs w:val="22"/>
              </w:rPr>
              <w:t>Overall total score</w:t>
            </w:r>
          </w:p>
        </w:tc>
        <w:tc>
          <w:tcPr>
            <w:tcW w:w="1500" w:type="dxa"/>
            <w:shd w:val="clear" w:color="auto" w:fill="auto"/>
          </w:tcPr>
          <w:p w14:paraId="553ADC7A" w14:textId="77777777" w:rsidR="00DE5E66" w:rsidRPr="00430315" w:rsidRDefault="00DE5E66" w:rsidP="00EA3F5A">
            <w:pPr>
              <w:jc w:val="right"/>
              <w:rPr>
                <w:b/>
                <w:sz w:val="22"/>
                <w:szCs w:val="22"/>
              </w:rPr>
            </w:pPr>
            <w:r w:rsidRPr="001B3873">
              <w:rPr>
                <w:b/>
                <w:sz w:val="22"/>
                <w:szCs w:val="22"/>
              </w:rPr>
              <w:t>100</w:t>
            </w:r>
          </w:p>
        </w:tc>
      </w:tr>
    </w:tbl>
    <w:p w14:paraId="7566E675" w14:textId="77777777" w:rsidR="00986E5D" w:rsidRDefault="00986E5D" w:rsidP="000E38EE">
      <w:pPr>
        <w:spacing w:before="120" w:after="120"/>
        <w:jc w:val="both"/>
        <w:rPr>
          <w:sz w:val="22"/>
          <w:szCs w:val="22"/>
        </w:rPr>
      </w:pPr>
    </w:p>
    <w:p w14:paraId="38A099EF" w14:textId="31E1B025" w:rsidR="003436FE" w:rsidRPr="002B370E" w:rsidRDefault="003436FE" w:rsidP="000E38EE">
      <w:pPr>
        <w:spacing w:before="120" w:after="120"/>
        <w:jc w:val="both"/>
        <w:rPr>
          <w:sz w:val="22"/>
          <w:szCs w:val="22"/>
        </w:rPr>
      </w:pPr>
      <w:r w:rsidRPr="002B370E">
        <w:rPr>
          <w:sz w:val="22"/>
          <w:szCs w:val="22"/>
        </w:rPr>
        <w:t xml:space="preserve">No other award criteria will be used. The award criteria will be examined in accordance with the requirements indicated in the </w:t>
      </w:r>
      <w:r w:rsidR="008E6FB3">
        <w:rPr>
          <w:sz w:val="22"/>
          <w:szCs w:val="22"/>
        </w:rPr>
        <w:t>t</w:t>
      </w:r>
      <w:r w:rsidRPr="002B370E">
        <w:rPr>
          <w:sz w:val="22"/>
          <w:szCs w:val="22"/>
        </w:rPr>
        <w:t xml:space="preserve">erms of </w:t>
      </w:r>
      <w:r w:rsidR="008E6FB3">
        <w:rPr>
          <w:sz w:val="22"/>
          <w:szCs w:val="22"/>
        </w:rPr>
        <w:t>r</w:t>
      </w:r>
      <w:r w:rsidRPr="002B370E">
        <w:rPr>
          <w:sz w:val="22"/>
          <w:szCs w:val="22"/>
        </w:rPr>
        <w:t>eference.</w:t>
      </w:r>
    </w:p>
    <w:p w14:paraId="02108EB3"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05694E7A" w14:textId="5589541F" w:rsidR="003436FE" w:rsidRPr="002B370E" w:rsidRDefault="003436FE" w:rsidP="003436FE">
      <w:pPr>
        <w:spacing w:before="120" w:after="120"/>
        <w:jc w:val="both"/>
        <w:rPr>
          <w:sz w:val="22"/>
          <w:szCs w:val="22"/>
        </w:rPr>
      </w:pPr>
      <w:r w:rsidRPr="00496026">
        <w:rPr>
          <w:sz w:val="22"/>
          <w:szCs w:val="22"/>
        </w:rPr>
        <w:t xml:space="preserve">Upon completion of the technical evaluation, the envelopes containing the financial offers for tenders that were not eliminated during the technical evaluation will be opened (i.e. those with an average score of </w:t>
      </w:r>
      <w:r w:rsidR="00B6364B">
        <w:rPr>
          <w:sz w:val="22"/>
          <w:szCs w:val="22"/>
        </w:rPr>
        <w:t>65</w:t>
      </w:r>
      <w:r w:rsidR="00230A4D" w:rsidRPr="00496026">
        <w:rPr>
          <w:sz w:val="22"/>
          <w:szCs w:val="22"/>
        </w:rPr>
        <w:t xml:space="preserve"> </w:t>
      </w:r>
      <w:r w:rsidRPr="00496026">
        <w:rPr>
          <w:sz w:val="22"/>
          <w:szCs w:val="22"/>
        </w:rPr>
        <w:t xml:space="preserve">points or more. </w:t>
      </w:r>
    </w:p>
    <w:p w14:paraId="024511BB"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2EC5ED01" w14:textId="5E4BB1DA" w:rsidR="003436FE" w:rsidRPr="002B370E" w:rsidRDefault="003436FE" w:rsidP="003436FE">
      <w:pPr>
        <w:spacing w:before="120" w:after="120"/>
        <w:jc w:val="both"/>
        <w:rPr>
          <w:sz w:val="22"/>
          <w:szCs w:val="22"/>
        </w:rPr>
      </w:pPr>
      <w:r w:rsidRPr="002B370E">
        <w:rPr>
          <w:sz w:val="22"/>
          <w:szCs w:val="22"/>
        </w:rPr>
        <w:t xml:space="preserve">The best </w:t>
      </w:r>
      <w:r w:rsidR="009A1502">
        <w:rPr>
          <w:sz w:val="22"/>
          <w:szCs w:val="22"/>
        </w:rPr>
        <w:t>price-quality ratio</w:t>
      </w:r>
      <w:r w:rsidRPr="002B370E">
        <w:rPr>
          <w:sz w:val="22"/>
          <w:szCs w:val="22"/>
        </w:rPr>
        <w:t xml:space="preserve"> is established by weigh</w:t>
      </w:r>
      <w:r w:rsidR="00D66C63">
        <w:rPr>
          <w:sz w:val="22"/>
          <w:szCs w:val="22"/>
        </w:rPr>
        <w:t>t</w:t>
      </w:r>
      <w:r w:rsidRPr="002B370E">
        <w:rPr>
          <w:sz w:val="22"/>
          <w:szCs w:val="22"/>
        </w:rPr>
        <w:t xml:space="preserve">ing technical quality against price on an </w:t>
      </w:r>
      <w:r w:rsidR="001B3873" w:rsidRPr="0049516E">
        <w:rPr>
          <w:sz w:val="22"/>
          <w:szCs w:val="22"/>
        </w:rPr>
        <w:t>70</w:t>
      </w:r>
      <w:r w:rsidRPr="0049516E">
        <w:rPr>
          <w:sz w:val="22"/>
          <w:szCs w:val="22"/>
        </w:rPr>
        <w:t>/</w:t>
      </w:r>
      <w:r w:rsidR="001B3873" w:rsidRPr="0049516E">
        <w:rPr>
          <w:sz w:val="22"/>
          <w:szCs w:val="22"/>
        </w:rPr>
        <w:t>30</w:t>
      </w:r>
      <w:r w:rsidRPr="0049516E">
        <w:rPr>
          <w:sz w:val="22"/>
          <w:szCs w:val="22"/>
        </w:rPr>
        <w:t xml:space="preserve"> basis.</w:t>
      </w:r>
    </w:p>
    <w:p w14:paraId="07DD77B3" w14:textId="77777777"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5645CDCA"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3F36FE">
        <w:rPr>
          <w:sz w:val="22"/>
          <w:szCs w:val="22"/>
        </w:rPr>
        <w:t>c</w:t>
      </w:r>
      <w:r w:rsidRPr="002B370E">
        <w:rPr>
          <w:sz w:val="22"/>
          <w:szCs w:val="22"/>
        </w:rPr>
        <w:t xml:space="preserve">ontracting </w:t>
      </w:r>
      <w:r w:rsidR="003F36FE">
        <w:rPr>
          <w:sz w:val="22"/>
          <w:szCs w:val="22"/>
        </w:rPr>
        <w:t>a</w:t>
      </w:r>
      <w:r w:rsidRPr="002B370E">
        <w:rPr>
          <w:sz w:val="22"/>
          <w:szCs w:val="22"/>
        </w:rPr>
        <w:t xml:space="preserve">uthority’s legislation on access to documents. The </w:t>
      </w:r>
      <w:r w:rsidR="00B50807">
        <w:rPr>
          <w:sz w:val="22"/>
          <w:szCs w:val="22"/>
        </w:rPr>
        <w:t>e</w:t>
      </w:r>
      <w:r w:rsidRPr="002B370E">
        <w:rPr>
          <w:sz w:val="22"/>
          <w:szCs w:val="22"/>
        </w:rPr>
        <w:t xml:space="preserve">valuation </w:t>
      </w:r>
      <w:r w:rsidR="00B50807">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B50807">
        <w:rPr>
          <w:sz w:val="22"/>
          <w:szCs w:val="22"/>
        </w:rPr>
        <w:t>e</w:t>
      </w:r>
      <w:r w:rsidRPr="002B370E">
        <w:rPr>
          <w:sz w:val="22"/>
          <w:szCs w:val="22"/>
        </w:rPr>
        <w:t xml:space="preserve">valuation </w:t>
      </w:r>
      <w:r w:rsidR="00B50807">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3F36FE">
        <w:rPr>
          <w:sz w:val="22"/>
          <w:szCs w:val="22"/>
        </w:rPr>
        <w:t>c</w:t>
      </w:r>
      <w:r w:rsidRPr="002B370E">
        <w:rPr>
          <w:sz w:val="22"/>
          <w:szCs w:val="22"/>
        </w:rPr>
        <w:t xml:space="preserve">ontracting </w:t>
      </w:r>
      <w:r w:rsidR="003F36FE">
        <w:rPr>
          <w:sz w:val="22"/>
          <w:szCs w:val="22"/>
        </w:rPr>
        <w:t>a</w:t>
      </w:r>
      <w:r w:rsidRPr="002B370E">
        <w:rPr>
          <w:sz w:val="22"/>
          <w:szCs w:val="22"/>
        </w:rPr>
        <w:t>uthority, the European Commission, the European Anti-Fraud Office</w:t>
      </w:r>
      <w:r w:rsidR="008053C7">
        <w:rPr>
          <w:sz w:val="22"/>
          <w:szCs w:val="22"/>
        </w:rPr>
        <w:t>, the European Public Prosecutor’s Office</w:t>
      </w:r>
      <w:r w:rsidRPr="002B370E">
        <w:rPr>
          <w:sz w:val="22"/>
          <w:szCs w:val="22"/>
        </w:rPr>
        <w:t xml:space="preserve"> and the European Court of Auditors.</w:t>
      </w:r>
    </w:p>
    <w:p w14:paraId="4EF4AE53"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 xml:space="preserve">Ethics clauses </w:t>
      </w:r>
      <w:r w:rsidR="003C457E">
        <w:rPr>
          <w:b/>
          <w:sz w:val="24"/>
          <w:szCs w:val="24"/>
        </w:rPr>
        <w:t xml:space="preserve">and code of conduct </w:t>
      </w:r>
    </w:p>
    <w:p w14:paraId="1BD08E3B" w14:textId="77777777" w:rsidR="003C457E" w:rsidRPr="00695F78" w:rsidRDefault="003436FE" w:rsidP="003436FE">
      <w:pPr>
        <w:spacing w:before="120" w:after="120"/>
        <w:ind w:left="567" w:hanging="567"/>
        <w:jc w:val="both"/>
        <w:rPr>
          <w:sz w:val="22"/>
          <w:szCs w:val="22"/>
          <w:u w:val="single"/>
        </w:rPr>
      </w:pPr>
      <w:r w:rsidRPr="002B370E">
        <w:rPr>
          <w:sz w:val="22"/>
          <w:szCs w:val="22"/>
        </w:rPr>
        <w:t>a)</w:t>
      </w:r>
      <w:r w:rsidRPr="002B370E">
        <w:rPr>
          <w:sz w:val="22"/>
          <w:szCs w:val="22"/>
        </w:rPr>
        <w:tab/>
      </w:r>
      <w:r w:rsidR="003C457E" w:rsidRPr="00695F78">
        <w:rPr>
          <w:sz w:val="22"/>
          <w:szCs w:val="22"/>
          <w:u w:val="single"/>
        </w:rPr>
        <w:t>Absence of conflict of interest</w:t>
      </w:r>
    </w:p>
    <w:p w14:paraId="2AED2C60" w14:textId="77777777" w:rsidR="003C457E" w:rsidRDefault="003C457E" w:rsidP="003436FE">
      <w:pPr>
        <w:spacing w:before="120" w:after="120"/>
        <w:ind w:left="567" w:hanging="567"/>
        <w:jc w:val="both"/>
        <w:rPr>
          <w:sz w:val="22"/>
          <w:szCs w:val="22"/>
        </w:rPr>
      </w:pPr>
      <w:r>
        <w:rPr>
          <w:sz w:val="22"/>
          <w:szCs w:val="22"/>
        </w:rPr>
        <w:t xml:space="preserve">         </w:t>
      </w:r>
      <w:r w:rsidRPr="003C457E">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w:t>
      </w:r>
      <w:r w:rsidRPr="003C457E">
        <w:rPr>
          <w:sz w:val="22"/>
          <w:szCs w:val="22"/>
        </w:rPr>
        <w:lastRenderedPageBreak/>
        <w:t xml:space="preserve">rejection of its tender and may result in administrative penalties according to the Financial Regulation in force. </w:t>
      </w:r>
    </w:p>
    <w:p w14:paraId="67CC2887" w14:textId="77777777" w:rsidR="003C457E"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3C457E" w:rsidRPr="00695F78">
        <w:rPr>
          <w:sz w:val="22"/>
          <w:szCs w:val="22"/>
          <w:u w:val="single"/>
        </w:rPr>
        <w:t>Respect for human rights as well as environmental legislation and core labour standards</w:t>
      </w:r>
    </w:p>
    <w:p w14:paraId="1E3BB217" w14:textId="333715F9" w:rsidR="003C457E" w:rsidRDefault="003C457E" w:rsidP="003436FE">
      <w:pPr>
        <w:spacing w:before="120" w:after="120"/>
        <w:ind w:left="567" w:hanging="567"/>
        <w:jc w:val="both"/>
        <w:rPr>
          <w:sz w:val="22"/>
          <w:szCs w:val="22"/>
        </w:rPr>
      </w:pPr>
      <w:r w:rsidRPr="003C457E">
        <w:rPr>
          <w:sz w:val="22"/>
          <w:szCs w:val="22"/>
        </w:rPr>
        <w:t xml:space="preserve"> </w:t>
      </w:r>
      <w:r>
        <w:rPr>
          <w:sz w:val="22"/>
          <w:szCs w:val="22"/>
        </w:rPr>
        <w:t xml:space="preserve">        </w:t>
      </w:r>
      <w:r w:rsidRPr="003C457E">
        <w:rPr>
          <w:sz w:val="22"/>
          <w:szCs w:val="22"/>
        </w:rPr>
        <w:t xml:space="preserve">The tenderer and its </w:t>
      </w:r>
      <w:r w:rsidR="00277322" w:rsidRPr="00442485">
        <w:rPr>
          <w:sz w:val="22"/>
          <w:szCs w:val="22"/>
        </w:rPr>
        <w:t>personnel</w:t>
      </w:r>
      <w:r w:rsidRPr="003C457E">
        <w:rPr>
          <w:sz w:val="22"/>
          <w:szCs w:val="22"/>
        </w:rPr>
        <w:t xml:space="preserve"> must comply with human rights</w:t>
      </w:r>
      <w:r w:rsidR="00395A65">
        <w:rPr>
          <w:sz w:val="22"/>
          <w:szCs w:val="22"/>
        </w:rPr>
        <w:t xml:space="preserve"> </w:t>
      </w:r>
      <w:r w:rsidR="00395A65" w:rsidRPr="00395A65">
        <w:rPr>
          <w:sz w:val="22"/>
          <w:szCs w:val="22"/>
        </w:rPr>
        <w:t>and applicable data protection rules.</w:t>
      </w:r>
      <w:r w:rsidRPr="003C457E">
        <w:rPr>
          <w:sz w:val="22"/>
          <w:szCs w:val="22"/>
        </w:rPr>
        <w:t xml:space="preserve">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732BD72C" w14:textId="77777777" w:rsidR="003C457E" w:rsidRPr="00695F78" w:rsidRDefault="003C457E" w:rsidP="00695F78">
      <w:pPr>
        <w:pBdr>
          <w:top w:val="single" w:sz="4" w:space="1" w:color="auto"/>
          <w:left w:val="single" w:sz="4" w:space="4" w:color="auto"/>
          <w:bottom w:val="single" w:sz="4" w:space="1" w:color="auto"/>
          <w:right w:val="single" w:sz="4" w:space="4" w:color="auto"/>
        </w:pBdr>
        <w:spacing w:before="120" w:after="120"/>
        <w:ind w:left="567" w:hanging="567"/>
        <w:jc w:val="both"/>
        <w:rPr>
          <w:b/>
          <w:sz w:val="22"/>
          <w:szCs w:val="22"/>
        </w:rPr>
      </w:pPr>
      <w:r>
        <w:rPr>
          <w:sz w:val="22"/>
          <w:szCs w:val="22"/>
        </w:rPr>
        <w:t xml:space="preserve">        </w:t>
      </w:r>
      <w:r w:rsidRPr="00695F78">
        <w:rPr>
          <w:b/>
          <w:sz w:val="22"/>
          <w:szCs w:val="22"/>
        </w:rPr>
        <w:t xml:space="preserve">Zero tolerance for sexual </w:t>
      </w:r>
      <w:r w:rsidR="008252E4" w:rsidRPr="00695F78">
        <w:rPr>
          <w:b/>
          <w:sz w:val="22"/>
          <w:szCs w:val="22"/>
        </w:rPr>
        <w:t>exploitation</w:t>
      </w:r>
      <w:r w:rsidR="008252E4">
        <w:rPr>
          <w:b/>
          <w:sz w:val="22"/>
          <w:szCs w:val="22"/>
        </w:rPr>
        <w:t>,</w:t>
      </w:r>
      <w:r w:rsidRPr="00695F78">
        <w:rPr>
          <w:b/>
          <w:sz w:val="22"/>
          <w:szCs w:val="22"/>
        </w:rPr>
        <w:t xml:space="preserve"> abuse</w:t>
      </w:r>
      <w:r w:rsidR="008252E4">
        <w:rPr>
          <w:b/>
          <w:sz w:val="22"/>
          <w:szCs w:val="22"/>
        </w:rPr>
        <w:t xml:space="preserve"> and harassment</w:t>
      </w:r>
      <w:r w:rsidRPr="00695F78">
        <w:rPr>
          <w:b/>
          <w:sz w:val="22"/>
          <w:szCs w:val="22"/>
        </w:rPr>
        <w:t>:</w:t>
      </w:r>
    </w:p>
    <w:p w14:paraId="73EAA360" w14:textId="77777777" w:rsidR="003C457E" w:rsidRPr="003C457E" w:rsidRDefault="003C457E" w:rsidP="00695F78">
      <w:pPr>
        <w:pBdr>
          <w:top w:val="single" w:sz="4" w:space="1" w:color="auto"/>
          <w:left w:val="single" w:sz="4" w:space="4" w:color="auto"/>
          <w:bottom w:val="single" w:sz="4" w:space="1" w:color="auto"/>
          <w:right w:val="single" w:sz="4" w:space="4" w:color="auto"/>
        </w:pBdr>
        <w:spacing w:before="120" w:after="120"/>
        <w:ind w:left="567" w:hanging="567"/>
        <w:jc w:val="both"/>
        <w:rPr>
          <w:sz w:val="22"/>
          <w:szCs w:val="22"/>
        </w:rPr>
      </w:pPr>
      <w:r>
        <w:rPr>
          <w:sz w:val="22"/>
          <w:szCs w:val="22"/>
        </w:rPr>
        <w:t xml:space="preserve">          </w:t>
      </w:r>
      <w:r w:rsidRPr="003C457E">
        <w:rPr>
          <w:sz w:val="22"/>
          <w:szCs w:val="22"/>
        </w:rPr>
        <w:t>The European Commission applies a policy of 'zero toleranc</w:t>
      </w:r>
      <w:r>
        <w:rPr>
          <w:sz w:val="22"/>
          <w:szCs w:val="22"/>
        </w:rPr>
        <w:t xml:space="preserve">e' in relation to all wrongful </w:t>
      </w:r>
      <w:r w:rsidRPr="003C457E">
        <w:rPr>
          <w:sz w:val="22"/>
          <w:szCs w:val="22"/>
        </w:rPr>
        <w:t xml:space="preserve">conduct which has an impact on the professional credibility of the tenderer. </w:t>
      </w:r>
    </w:p>
    <w:p w14:paraId="0B8A8567" w14:textId="77777777" w:rsidR="003C457E" w:rsidRDefault="003C457E" w:rsidP="00695F78">
      <w:pPr>
        <w:pBdr>
          <w:top w:val="single" w:sz="4" w:space="1" w:color="auto"/>
          <w:left w:val="single" w:sz="4" w:space="4" w:color="auto"/>
          <w:bottom w:val="single" w:sz="4" w:space="1" w:color="auto"/>
          <w:right w:val="single" w:sz="4" w:space="4" w:color="auto"/>
        </w:pBdr>
        <w:spacing w:before="120" w:after="120"/>
        <w:ind w:left="567" w:hanging="567"/>
        <w:jc w:val="both"/>
        <w:rPr>
          <w:sz w:val="22"/>
          <w:szCs w:val="22"/>
        </w:rPr>
      </w:pPr>
      <w:r>
        <w:rPr>
          <w:sz w:val="22"/>
          <w:szCs w:val="22"/>
        </w:rPr>
        <w:t xml:space="preserve">          </w:t>
      </w:r>
      <w:r w:rsidRPr="003C457E">
        <w:rPr>
          <w:sz w:val="22"/>
          <w:szCs w:val="22"/>
        </w:rPr>
        <w:t>Physical abuse or punishment, or threats of physical abuse, sexual abuse or exploitation, harassment and verbal abuse, as well as other forms of intimidation shall be prohibited.</w:t>
      </w:r>
    </w:p>
    <w:p w14:paraId="5C2C66B4" w14:textId="77777777" w:rsidR="004968C0" w:rsidRDefault="003C457E" w:rsidP="003436FE">
      <w:pPr>
        <w:spacing w:before="120" w:after="120"/>
        <w:ind w:left="567" w:hanging="567"/>
        <w:jc w:val="both"/>
        <w:rPr>
          <w:sz w:val="22"/>
          <w:szCs w:val="22"/>
        </w:rPr>
      </w:pPr>
      <w:r w:rsidRPr="002B370E" w:rsidDel="003C457E">
        <w:rPr>
          <w:sz w:val="22"/>
          <w:szCs w:val="22"/>
        </w:rPr>
        <w:t xml:space="preserve"> </w:t>
      </w:r>
      <w:r w:rsidR="003436FE" w:rsidRPr="002B370E">
        <w:rPr>
          <w:sz w:val="22"/>
          <w:szCs w:val="22"/>
        </w:rPr>
        <w:t>c)</w:t>
      </w:r>
      <w:r w:rsidR="003436FE" w:rsidRPr="002B370E">
        <w:rPr>
          <w:sz w:val="22"/>
          <w:szCs w:val="22"/>
        </w:rPr>
        <w:tab/>
      </w:r>
      <w:r w:rsidR="004968C0" w:rsidRPr="00695F78">
        <w:rPr>
          <w:sz w:val="22"/>
          <w:szCs w:val="22"/>
          <w:u w:val="single"/>
        </w:rPr>
        <w:t>Anti-corruption and anti-bribery</w:t>
      </w:r>
      <w:r w:rsidR="004968C0" w:rsidRPr="004968C0">
        <w:rPr>
          <w:sz w:val="22"/>
          <w:szCs w:val="22"/>
        </w:rPr>
        <w:t xml:space="preserve"> </w:t>
      </w:r>
    </w:p>
    <w:p w14:paraId="2E6D00A0" w14:textId="77777777" w:rsidR="003436FE" w:rsidRPr="002B370E" w:rsidRDefault="004968C0" w:rsidP="003436FE">
      <w:pPr>
        <w:spacing w:before="120" w:after="120"/>
        <w:ind w:left="567" w:hanging="567"/>
        <w:jc w:val="both"/>
        <w:rPr>
          <w:sz w:val="22"/>
          <w:szCs w:val="22"/>
        </w:rPr>
      </w:pPr>
      <w:r>
        <w:rPr>
          <w:sz w:val="22"/>
          <w:szCs w:val="22"/>
        </w:rPr>
        <w:t xml:space="preserve">          </w:t>
      </w:r>
      <w:r w:rsidRPr="004968C0">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26BDCFEB" w14:textId="77777777" w:rsidR="004968C0"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4968C0" w:rsidRPr="00695F78">
        <w:rPr>
          <w:sz w:val="22"/>
          <w:szCs w:val="22"/>
          <w:u w:val="single"/>
        </w:rPr>
        <w:t>Unusual commercial expenses</w:t>
      </w:r>
      <w:r w:rsidR="004968C0" w:rsidRPr="004968C0">
        <w:rPr>
          <w:sz w:val="22"/>
          <w:szCs w:val="22"/>
        </w:rPr>
        <w:t xml:space="preserve"> </w:t>
      </w:r>
    </w:p>
    <w:p w14:paraId="5ADE4362" w14:textId="77777777" w:rsidR="004968C0" w:rsidRPr="004968C0" w:rsidRDefault="004968C0" w:rsidP="004968C0">
      <w:pPr>
        <w:spacing w:before="120" w:after="120"/>
        <w:ind w:left="567" w:hanging="567"/>
        <w:jc w:val="both"/>
        <w:rPr>
          <w:sz w:val="22"/>
          <w:szCs w:val="22"/>
        </w:rPr>
      </w:pPr>
      <w:r>
        <w:rPr>
          <w:sz w:val="22"/>
          <w:szCs w:val="22"/>
        </w:rPr>
        <w:t xml:space="preserve">          </w:t>
      </w:r>
      <w:r w:rsidRPr="004968C0">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1BCBFEB7" w14:textId="77777777" w:rsidR="003436FE" w:rsidRPr="002B370E" w:rsidRDefault="004968C0" w:rsidP="00695F78">
      <w:pPr>
        <w:spacing w:before="120" w:after="120"/>
        <w:ind w:left="567" w:hanging="567"/>
        <w:jc w:val="both"/>
        <w:rPr>
          <w:sz w:val="22"/>
          <w:szCs w:val="22"/>
        </w:rPr>
      </w:pPr>
      <w:r>
        <w:rPr>
          <w:sz w:val="22"/>
          <w:szCs w:val="22"/>
        </w:rPr>
        <w:t xml:space="preserve">          </w:t>
      </w:r>
      <w:r w:rsidRPr="004968C0">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7BF76C79" w14:textId="77777777" w:rsidR="004968C0"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695F78" w:rsidRPr="00695F78">
        <w:rPr>
          <w:sz w:val="22"/>
          <w:szCs w:val="22"/>
          <w:u w:val="single"/>
        </w:rPr>
        <w:t>Breach of obligations</w:t>
      </w:r>
      <w:r w:rsidR="004968C0" w:rsidRPr="00695F78">
        <w:rPr>
          <w:sz w:val="22"/>
          <w:szCs w:val="22"/>
          <w:u w:val="single"/>
        </w:rPr>
        <w:t>, irregularities or fraud</w:t>
      </w:r>
    </w:p>
    <w:p w14:paraId="5E094E6C" w14:textId="77777777" w:rsidR="008F2B98" w:rsidRDefault="004968C0" w:rsidP="00695F78">
      <w:pPr>
        <w:spacing w:before="120" w:after="120"/>
        <w:ind w:left="567" w:hanging="567"/>
        <w:jc w:val="both"/>
        <w:rPr>
          <w:sz w:val="22"/>
          <w:szCs w:val="22"/>
        </w:rPr>
      </w:pPr>
      <w:r>
        <w:rPr>
          <w:sz w:val="22"/>
          <w:szCs w:val="22"/>
        </w:rPr>
        <w:t xml:space="preserve">          </w:t>
      </w:r>
      <w:r w:rsidRPr="004968C0">
        <w:rPr>
          <w:sz w:val="22"/>
          <w:szCs w:val="22"/>
        </w:rPr>
        <w:t>The contracting authority reserves the right to suspend or cancel the procedure, where the award procedure proves to have be</w:t>
      </w:r>
      <w:r w:rsidR="00695F78">
        <w:rPr>
          <w:sz w:val="22"/>
          <w:szCs w:val="22"/>
        </w:rPr>
        <w:t>en subject to breach of obligations</w:t>
      </w:r>
      <w:r w:rsidRPr="004968C0">
        <w:rPr>
          <w:sz w:val="22"/>
          <w:szCs w:val="22"/>
        </w:rPr>
        <w:t>, irregularities</w:t>
      </w:r>
      <w:r w:rsidR="00695F78">
        <w:rPr>
          <w:sz w:val="22"/>
          <w:szCs w:val="22"/>
        </w:rPr>
        <w:t xml:space="preserve"> or fraud. If breach of obligations</w:t>
      </w:r>
      <w:r w:rsidRPr="004968C0">
        <w:rPr>
          <w:sz w:val="22"/>
          <w:szCs w:val="22"/>
        </w:rPr>
        <w:t>, irregularities or fraud are discovered after the award of the contract, the contracting authority may refrain from concluding the contract.</w:t>
      </w:r>
      <w:r w:rsidRPr="002B370E" w:rsidDel="004968C0">
        <w:rPr>
          <w:sz w:val="22"/>
          <w:szCs w:val="22"/>
        </w:rPr>
        <w:t xml:space="preserve"> </w:t>
      </w:r>
      <w:r w:rsidR="008F2B98">
        <w:rPr>
          <w:sz w:val="22"/>
          <w:szCs w:val="22"/>
        </w:rPr>
        <w:t xml:space="preserve"> </w:t>
      </w:r>
    </w:p>
    <w:p w14:paraId="261277CD" w14:textId="77777777" w:rsidR="003436FE" w:rsidRPr="008F2B98" w:rsidRDefault="008F2B98" w:rsidP="00695F78">
      <w:pPr>
        <w:spacing w:before="120" w:after="120"/>
        <w:ind w:left="567" w:hanging="567"/>
        <w:jc w:val="both"/>
        <w:rPr>
          <w:b/>
          <w:sz w:val="24"/>
          <w:szCs w:val="24"/>
        </w:rPr>
      </w:pPr>
      <w:r w:rsidRPr="00695F78">
        <w:rPr>
          <w:b/>
          <w:sz w:val="22"/>
          <w:szCs w:val="22"/>
        </w:rPr>
        <w:t xml:space="preserve">14. </w:t>
      </w:r>
      <w:r w:rsidR="003436FE" w:rsidRPr="008F2B98">
        <w:rPr>
          <w:b/>
          <w:sz w:val="24"/>
          <w:szCs w:val="24"/>
        </w:rPr>
        <w:t>Signature of contract(s)</w:t>
      </w:r>
    </w:p>
    <w:p w14:paraId="2D8AC2E6" w14:textId="77777777" w:rsidR="003436FE" w:rsidRPr="002B370E" w:rsidRDefault="003436FE" w:rsidP="003436FE">
      <w:pPr>
        <w:keepNext/>
        <w:spacing w:before="120" w:after="120"/>
        <w:ind w:left="567" w:hanging="567"/>
        <w:jc w:val="both"/>
        <w:rPr>
          <w:b/>
          <w:sz w:val="22"/>
          <w:szCs w:val="22"/>
        </w:rPr>
      </w:pPr>
      <w:r w:rsidRPr="002B370E">
        <w:rPr>
          <w:b/>
          <w:sz w:val="22"/>
          <w:szCs w:val="22"/>
        </w:rPr>
        <w:lastRenderedPageBreak/>
        <w:t>14.1</w:t>
      </w:r>
      <w:r w:rsidR="00010683">
        <w:rPr>
          <w:b/>
          <w:sz w:val="22"/>
          <w:szCs w:val="22"/>
        </w:rPr>
        <w:t>.</w:t>
      </w:r>
      <w:r w:rsidRPr="002B370E">
        <w:rPr>
          <w:b/>
          <w:sz w:val="22"/>
          <w:szCs w:val="22"/>
        </w:rPr>
        <w:tab/>
        <w:t>Notification of award</w:t>
      </w:r>
    </w:p>
    <w:p w14:paraId="027F53F2" w14:textId="5C5806D9" w:rsidR="00FA5C42" w:rsidRPr="002B370E" w:rsidRDefault="003922CF" w:rsidP="00FA5C42">
      <w:pPr>
        <w:keepNext/>
        <w:spacing w:before="120" w:after="120"/>
        <w:jc w:val="both"/>
        <w:rPr>
          <w:sz w:val="22"/>
          <w:szCs w:val="22"/>
        </w:rPr>
      </w:pPr>
      <w:r w:rsidRPr="00496026">
        <w:rPr>
          <w:sz w:val="22"/>
          <w:szCs w:val="22"/>
        </w:rPr>
        <w:t xml:space="preserve">Tenderers will be notified of the outcome of this procurement procedure in writing. </w:t>
      </w:r>
    </w:p>
    <w:p w14:paraId="48618AE3"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611A0134" w14:textId="3028557B"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w:t>
      </w:r>
      <w:r w:rsidR="00496026">
        <w:rPr>
          <w:sz w:val="22"/>
          <w:szCs w:val="22"/>
        </w:rPr>
        <w:t>5</w:t>
      </w:r>
      <w:r w:rsidRPr="002B370E">
        <w:rPr>
          <w:sz w:val="22"/>
          <w:szCs w:val="22"/>
        </w:rPr>
        <w:t xml:space="preserve"> days of receipt of the contract already signed by the </w:t>
      </w:r>
      <w:r w:rsidR="003F36FE">
        <w:rPr>
          <w:sz w:val="22"/>
          <w:szCs w:val="22"/>
        </w:rPr>
        <w:t>c</w:t>
      </w:r>
      <w:r w:rsidRPr="002B370E">
        <w:rPr>
          <w:sz w:val="22"/>
          <w:szCs w:val="22"/>
        </w:rPr>
        <w:t xml:space="preserve">ontracting </w:t>
      </w:r>
      <w:r w:rsidR="003F36FE">
        <w:rPr>
          <w:sz w:val="22"/>
          <w:szCs w:val="22"/>
        </w:rPr>
        <w:t>a</w:t>
      </w:r>
      <w:r w:rsidRPr="002B370E">
        <w:rPr>
          <w:sz w:val="22"/>
          <w:szCs w:val="22"/>
        </w:rPr>
        <w:t xml:space="preserve">uthority, the selected tenderer shall sign and date the contract and return it to the </w:t>
      </w:r>
      <w:r w:rsidR="003F36FE">
        <w:rPr>
          <w:sz w:val="22"/>
          <w:szCs w:val="22"/>
        </w:rPr>
        <w:t>c</w:t>
      </w:r>
      <w:r w:rsidRPr="002B370E">
        <w:rPr>
          <w:sz w:val="22"/>
          <w:szCs w:val="22"/>
        </w:rPr>
        <w:t xml:space="preserve">ontracting </w:t>
      </w:r>
      <w:r w:rsidR="003F36FE">
        <w:rPr>
          <w:sz w:val="22"/>
          <w:szCs w:val="22"/>
        </w:rPr>
        <w:t>a</w:t>
      </w:r>
      <w:r w:rsidRPr="002B370E">
        <w:rPr>
          <w:sz w:val="22"/>
          <w:szCs w:val="22"/>
        </w:rPr>
        <w:t>uthority.</w:t>
      </w:r>
    </w:p>
    <w:p w14:paraId="3DAD0075"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w:t>
      </w:r>
      <w:r w:rsidR="003F36FE">
        <w:rPr>
          <w:sz w:val="22"/>
          <w:szCs w:val="22"/>
        </w:rPr>
        <w:t>c</w:t>
      </w:r>
      <w:r w:rsidRPr="002B370E">
        <w:rPr>
          <w:sz w:val="22"/>
          <w:szCs w:val="22"/>
        </w:rPr>
        <w:t xml:space="preserve">ontracting </w:t>
      </w:r>
      <w:r w:rsidR="003F36FE">
        <w:rPr>
          <w:sz w:val="22"/>
          <w:szCs w:val="22"/>
        </w:rPr>
        <w:t>a</w:t>
      </w:r>
      <w:r w:rsidRPr="002B370E">
        <w:rPr>
          <w:sz w:val="22"/>
          <w:szCs w:val="22"/>
        </w:rPr>
        <w:t xml:space="preserve">uthority may award the tender to another tenderer or cancel the tender procedure. </w:t>
      </w:r>
    </w:p>
    <w:p w14:paraId="30F756CE" w14:textId="74DB3571"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w:t>
      </w:r>
      <w:r w:rsidR="00F51085">
        <w:rPr>
          <w:sz w:val="22"/>
          <w:szCs w:val="22"/>
        </w:rPr>
        <w:t>retained</w:t>
      </w:r>
      <w:r w:rsidRPr="002B370E">
        <w:rPr>
          <w:sz w:val="22"/>
          <w:szCs w:val="22"/>
        </w:rPr>
        <w:t xml:space="preserve">, by </w:t>
      </w:r>
      <w:r w:rsidR="00F51085">
        <w:rPr>
          <w:sz w:val="22"/>
          <w:szCs w:val="22"/>
        </w:rPr>
        <w:t xml:space="preserve">electronic </w:t>
      </w:r>
      <w:r w:rsidRPr="002B370E">
        <w:rPr>
          <w:sz w:val="22"/>
          <w:szCs w:val="22"/>
        </w:rPr>
        <w:t>means o</w:t>
      </w:r>
      <w:r w:rsidR="00F51085">
        <w:rPr>
          <w:sz w:val="22"/>
          <w:szCs w:val="22"/>
        </w:rPr>
        <w:t>r</w:t>
      </w:r>
      <w:r w:rsidRPr="002B370E">
        <w:rPr>
          <w:sz w:val="22"/>
          <w:szCs w:val="22"/>
        </w:rPr>
        <w:t xml:space="preserve">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w:t>
      </w:r>
      <w:proofErr w:type="spellStart"/>
      <w:r w:rsidRPr="002B370E">
        <w:rPr>
          <w:sz w:val="22"/>
          <w:szCs w:val="22"/>
        </w:rPr>
        <w:t>tender.</w:t>
      </w:r>
      <w:r w:rsidR="00F11E9B">
        <w:t>T</w:t>
      </w:r>
      <w:r w:rsidR="00F11E9B" w:rsidRPr="008062AA">
        <w:rPr>
          <w:rStyle w:val="Style11pt"/>
          <w:szCs w:val="22"/>
        </w:rPr>
        <w:t>he</w:t>
      </w:r>
      <w:proofErr w:type="spellEnd"/>
      <w:r w:rsidR="00F11E9B" w:rsidRPr="008062AA">
        <w:rPr>
          <w:rStyle w:val="Style11pt"/>
          <w:szCs w:val="22"/>
        </w:rPr>
        <w:t xml:space="preserv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w:t>
      </w:r>
      <w:r w:rsidR="007A0123">
        <w:rPr>
          <w:rStyle w:val="Style11pt"/>
        </w:rPr>
        <w:t xml:space="preserve"> The second tenderer may refuse the award of the contract if, when receiving a notification of award, the 90 days of validity of their tender has expired.</w:t>
      </w:r>
    </w:p>
    <w:p w14:paraId="1BC9EF8F" w14:textId="77777777" w:rsidR="00F11E9B" w:rsidRPr="00F11E9B" w:rsidRDefault="00F11E9B" w:rsidP="00F11E9B">
      <w:pPr>
        <w:pStyle w:val="Style11ptJustifiedAfter12pt"/>
      </w:pPr>
      <w:r w:rsidRPr="00083096">
        <w:rPr>
          <w:rStyle w:val="Style11pt"/>
        </w:rPr>
        <w:t xml:space="preserve">The </w:t>
      </w:r>
      <w:r w:rsidR="003F36FE">
        <w:rPr>
          <w:rStyle w:val="Style11pt"/>
        </w:rPr>
        <w:t>c</w:t>
      </w:r>
      <w:r w:rsidRPr="00083096">
        <w:rPr>
          <w:rStyle w:val="Style11pt"/>
        </w:rPr>
        <w:t xml:space="preserve">ontracting </w:t>
      </w:r>
      <w:r w:rsidR="003F36FE">
        <w:rPr>
          <w:rStyle w:val="Style11pt"/>
        </w:rPr>
        <w:t>a</w:t>
      </w:r>
      <w:r w:rsidRPr="00083096">
        <w:rPr>
          <w:rStyle w:val="Style11pt"/>
        </w:rPr>
        <w:t>uthority will furthermore, at the same time, also inform the remaining unsuccessful tenderers</w:t>
      </w:r>
      <w:r w:rsidR="00F10DB7">
        <w:rPr>
          <w:rStyle w:val="Style11pt"/>
        </w:rPr>
        <w:t xml:space="preserve"> of the outcome of the procurement procedure</w:t>
      </w:r>
      <w:r w:rsidRPr="00083096">
        <w:rPr>
          <w:rStyle w:val="Style11pt"/>
        </w:rPr>
        <w:t xml:space="preserve"> </w:t>
      </w:r>
      <w:r>
        <w:rPr>
          <w:rStyle w:val="Style11pt"/>
        </w:rPr>
        <w:t>and</w:t>
      </w:r>
      <w:r w:rsidR="00F10DB7">
        <w:rPr>
          <w:rStyle w:val="Style11pt"/>
        </w:rPr>
        <w:t>,</w:t>
      </w:r>
      <w:r>
        <w:rPr>
          <w:rStyle w:val="Style11pt"/>
        </w:rPr>
        <w:t xml:space="preserve"> </w:t>
      </w:r>
      <w:r w:rsidR="00F10DB7">
        <w:rPr>
          <w:rStyle w:val="Style11pt"/>
        </w:rPr>
        <w:t>as a</w:t>
      </w:r>
      <w:r w:rsidRPr="00083096">
        <w:rPr>
          <w:rStyle w:val="Style11pt"/>
        </w:rPr>
        <w:t xml:space="preserve"> consequence of these letters</w:t>
      </w:r>
      <w:r w:rsidR="00F10DB7">
        <w:rPr>
          <w:rStyle w:val="Style11pt"/>
        </w:rPr>
        <w:t>,</w:t>
      </w:r>
      <w:r w:rsidRPr="00083096">
        <w:rPr>
          <w:rStyle w:val="Style11pt"/>
        </w:rPr>
        <w:t xml:space="preserve"> the validity of their offers </w:t>
      </w:r>
      <w:r w:rsidR="00F10DB7">
        <w:rPr>
          <w:rStyle w:val="Style11pt"/>
        </w:rPr>
        <w:t>shall</w:t>
      </w:r>
      <w:r w:rsidRPr="00083096">
        <w:rPr>
          <w:rStyle w:val="Style11pt"/>
        </w:rPr>
        <w:t xml:space="preserve"> not be retained.</w:t>
      </w:r>
    </w:p>
    <w:p w14:paraId="5D1B71B7" w14:textId="351E4A70" w:rsidR="00A019FF" w:rsidRDefault="008F2B98" w:rsidP="00F52C4F">
      <w:pPr>
        <w:keepNext/>
        <w:spacing w:before="120" w:after="120"/>
        <w:jc w:val="both"/>
      </w:pPr>
      <w:r>
        <w:rPr>
          <w:b/>
          <w:sz w:val="24"/>
          <w:szCs w:val="24"/>
        </w:rPr>
        <w:t xml:space="preserve">15. </w:t>
      </w:r>
      <w:r w:rsidR="003436FE" w:rsidRPr="002B370E">
        <w:rPr>
          <w:b/>
          <w:sz w:val="24"/>
          <w:szCs w:val="24"/>
        </w:rPr>
        <w:t>Cancellation of the tender procedure</w:t>
      </w:r>
    </w:p>
    <w:p w14:paraId="00E660E3" w14:textId="77777777" w:rsidR="003C680B"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3F36FE">
        <w:rPr>
          <w:sz w:val="22"/>
          <w:szCs w:val="22"/>
        </w:rPr>
        <w:t>c</w:t>
      </w:r>
      <w:r w:rsidRPr="002B370E">
        <w:rPr>
          <w:sz w:val="22"/>
          <w:szCs w:val="22"/>
        </w:rPr>
        <w:t xml:space="preserve">ontracting </w:t>
      </w:r>
      <w:r w:rsidR="003F36FE">
        <w:rPr>
          <w:sz w:val="22"/>
          <w:szCs w:val="22"/>
        </w:rPr>
        <w:t>a</w:t>
      </w:r>
      <w:r w:rsidRPr="002B370E">
        <w:rPr>
          <w:sz w:val="22"/>
          <w:szCs w:val="22"/>
        </w:rPr>
        <w:t>uthority will notify tenderers of the cancellation</w:t>
      </w:r>
      <w:r w:rsidR="00C26931">
        <w:rPr>
          <w:sz w:val="22"/>
          <w:szCs w:val="22"/>
        </w:rPr>
        <w:t>.</w:t>
      </w:r>
    </w:p>
    <w:p w14:paraId="52266078" w14:textId="0E632323" w:rsidR="003436FE" w:rsidRPr="002B370E" w:rsidRDefault="003436FE" w:rsidP="003436FE">
      <w:pPr>
        <w:pStyle w:val="BodyText2"/>
        <w:tabs>
          <w:tab w:val="clear" w:pos="567"/>
          <w:tab w:val="left" w:pos="0"/>
          <w:tab w:val="left" w:pos="630"/>
        </w:tabs>
        <w:spacing w:before="120" w:after="120"/>
        <w:rPr>
          <w:sz w:val="22"/>
          <w:szCs w:val="22"/>
        </w:rPr>
      </w:pPr>
      <w:r w:rsidRPr="00496026">
        <w:rPr>
          <w:sz w:val="22"/>
          <w:szCs w:val="22"/>
        </w:rPr>
        <w:t>If the tender procedure is cancelled before the outer envelope of any tender has been opened, the unopened and sealed envelopes will be returned to the tenderers.</w:t>
      </w:r>
      <w:r w:rsidR="003C680B">
        <w:rPr>
          <w:sz w:val="22"/>
          <w:szCs w:val="22"/>
        </w:rPr>
        <w:t xml:space="preserve"> </w:t>
      </w:r>
    </w:p>
    <w:p w14:paraId="254FAC68"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DF5D03">
        <w:rPr>
          <w:sz w:val="22"/>
          <w:szCs w:val="22"/>
        </w:rPr>
        <w:t>, for example,</w:t>
      </w:r>
      <w:r w:rsidRPr="002B370E">
        <w:rPr>
          <w:sz w:val="22"/>
          <w:szCs w:val="22"/>
        </w:rPr>
        <w:t xml:space="preserve"> where:</w:t>
      </w:r>
    </w:p>
    <w:p w14:paraId="7C95D49D"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tender procedure has been unsuccessful, i.e. no</w:t>
      </w:r>
      <w:r w:rsidR="00F51085">
        <w:rPr>
          <w:sz w:val="22"/>
          <w:szCs w:val="22"/>
        </w:rPr>
        <w:t xml:space="preserve"> suitable,</w:t>
      </w:r>
      <w:r w:rsidRPr="002B370E">
        <w:rPr>
          <w:sz w:val="22"/>
          <w:szCs w:val="22"/>
        </w:rPr>
        <w:t xml:space="preserve"> qualitatively or financially </w:t>
      </w:r>
      <w:r w:rsidR="00F51085">
        <w:rPr>
          <w:sz w:val="22"/>
          <w:szCs w:val="22"/>
        </w:rPr>
        <w:t>acceptable</w:t>
      </w:r>
      <w:r w:rsidR="00F51085" w:rsidRPr="002B370E">
        <w:rPr>
          <w:sz w:val="22"/>
          <w:szCs w:val="22"/>
        </w:rPr>
        <w:t xml:space="preserve"> </w:t>
      </w:r>
      <w:r w:rsidRPr="002B370E">
        <w:rPr>
          <w:sz w:val="22"/>
          <w:szCs w:val="22"/>
        </w:rPr>
        <w:t>tender has been received or there is no valid response at all;</w:t>
      </w:r>
    </w:p>
    <w:p w14:paraId="1B0A8C24"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7EAEF35A"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18BABF54"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all technically </w:t>
      </w:r>
      <w:r w:rsidR="00F51085">
        <w:rPr>
          <w:sz w:val="22"/>
          <w:szCs w:val="22"/>
        </w:rPr>
        <w:t>acceptable</w:t>
      </w:r>
      <w:r w:rsidR="00F51085" w:rsidRPr="002B370E">
        <w:rPr>
          <w:sz w:val="22"/>
          <w:szCs w:val="22"/>
        </w:rPr>
        <w:t xml:space="preserve"> </w:t>
      </w:r>
      <w:r w:rsidRPr="002B370E">
        <w:rPr>
          <w:sz w:val="22"/>
          <w:szCs w:val="22"/>
        </w:rPr>
        <w:t>tenders exceed the financial resources available;</w:t>
      </w:r>
    </w:p>
    <w:p w14:paraId="4F4AC844"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w:t>
      </w:r>
      <w:proofErr w:type="gramStart"/>
      <w:r w:rsidRPr="002B370E">
        <w:rPr>
          <w:sz w:val="22"/>
          <w:szCs w:val="22"/>
        </w:rPr>
        <w:t>have</w:t>
      </w:r>
      <w:proofErr w:type="gramEnd"/>
      <w:r w:rsidRPr="002B370E">
        <w:rPr>
          <w:sz w:val="22"/>
          <w:szCs w:val="22"/>
        </w:rPr>
        <w:t xml:space="preserve"> been</w:t>
      </w:r>
      <w:r w:rsidR="008A3B7F">
        <w:rPr>
          <w:sz w:val="22"/>
          <w:szCs w:val="22"/>
        </w:rPr>
        <w:t xml:space="preserve"> breach of obligations</w:t>
      </w:r>
      <w:r w:rsidR="00F51085">
        <w:rPr>
          <w:sz w:val="22"/>
          <w:szCs w:val="22"/>
        </w:rPr>
        <w:t>,</w:t>
      </w:r>
      <w:r w:rsidRPr="002B370E">
        <w:rPr>
          <w:sz w:val="22"/>
          <w:szCs w:val="22"/>
        </w:rPr>
        <w:t xml:space="preserve"> irregularities</w:t>
      </w:r>
      <w:r w:rsidR="00F51085">
        <w:rPr>
          <w:sz w:val="22"/>
          <w:szCs w:val="22"/>
        </w:rPr>
        <w:t xml:space="preserve"> 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02F1AEE0"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0CCE7682"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lastRenderedPageBreak/>
        <w:t xml:space="preserve">In no event shall the </w:t>
      </w:r>
      <w:r w:rsidR="003F36FE">
        <w:rPr>
          <w:bCs/>
          <w:sz w:val="22"/>
          <w:szCs w:val="22"/>
        </w:rPr>
        <w:t>c</w:t>
      </w:r>
      <w:r w:rsidRPr="002B370E">
        <w:rPr>
          <w:bCs/>
          <w:sz w:val="22"/>
          <w:szCs w:val="22"/>
        </w:rPr>
        <w:t xml:space="preserve">ontracting </w:t>
      </w:r>
      <w:r w:rsidR="003F36FE">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3F36FE">
        <w:rPr>
          <w:bCs/>
          <w:sz w:val="22"/>
          <w:szCs w:val="22"/>
        </w:rPr>
        <w:t>c</w:t>
      </w:r>
      <w:r w:rsidRPr="002B370E">
        <w:rPr>
          <w:bCs/>
          <w:sz w:val="22"/>
          <w:szCs w:val="22"/>
        </w:rPr>
        <w:t xml:space="preserve">ontracting </w:t>
      </w:r>
      <w:r w:rsidR="003F36FE">
        <w:rPr>
          <w:bCs/>
          <w:sz w:val="22"/>
          <w:szCs w:val="22"/>
        </w:rPr>
        <w:t>a</w:t>
      </w:r>
      <w:r w:rsidRPr="002B370E">
        <w:rPr>
          <w:bCs/>
          <w:sz w:val="22"/>
          <w:szCs w:val="22"/>
        </w:rPr>
        <w:t xml:space="preserve">uthority has been advised of the possibility of damages. The publication of a </w:t>
      </w:r>
      <w:r w:rsidR="00F51085">
        <w:rPr>
          <w:bCs/>
          <w:sz w:val="22"/>
          <w:szCs w:val="22"/>
        </w:rPr>
        <w:t>contract</w:t>
      </w:r>
      <w:r w:rsidR="00F51085" w:rsidRPr="002B370E">
        <w:rPr>
          <w:bCs/>
          <w:sz w:val="22"/>
          <w:szCs w:val="22"/>
        </w:rPr>
        <w:t xml:space="preserve"> </w:t>
      </w:r>
      <w:r w:rsidRPr="002B370E">
        <w:rPr>
          <w:bCs/>
          <w:sz w:val="22"/>
          <w:szCs w:val="22"/>
        </w:rPr>
        <w:t xml:space="preserve">notice does not commit the </w:t>
      </w:r>
      <w:r w:rsidR="003F36FE">
        <w:rPr>
          <w:bCs/>
          <w:sz w:val="22"/>
          <w:szCs w:val="22"/>
        </w:rPr>
        <w:t>c</w:t>
      </w:r>
      <w:r w:rsidRPr="002B370E">
        <w:rPr>
          <w:bCs/>
          <w:sz w:val="22"/>
          <w:szCs w:val="22"/>
        </w:rPr>
        <w:t xml:space="preserve">ontracting </w:t>
      </w:r>
      <w:r w:rsidR="003F36FE">
        <w:rPr>
          <w:bCs/>
          <w:sz w:val="22"/>
          <w:szCs w:val="22"/>
        </w:rPr>
        <w:t>a</w:t>
      </w:r>
      <w:r w:rsidRPr="002B370E">
        <w:rPr>
          <w:bCs/>
          <w:sz w:val="22"/>
          <w:szCs w:val="22"/>
        </w:rPr>
        <w:t>uthority to implement the programme or project announced.</w:t>
      </w:r>
    </w:p>
    <w:p w14:paraId="67A5165E" w14:textId="77777777" w:rsidR="003436FE" w:rsidRPr="002B370E" w:rsidRDefault="008F2B98" w:rsidP="00695F78">
      <w:pPr>
        <w:keepNext/>
        <w:keepLines/>
        <w:spacing w:before="120" w:after="120"/>
        <w:jc w:val="both"/>
        <w:rPr>
          <w:b/>
          <w:sz w:val="24"/>
          <w:szCs w:val="24"/>
        </w:rPr>
      </w:pPr>
      <w:r>
        <w:rPr>
          <w:b/>
          <w:sz w:val="24"/>
          <w:szCs w:val="24"/>
        </w:rPr>
        <w:t xml:space="preserve">16. </w:t>
      </w:r>
      <w:r w:rsidR="003436FE" w:rsidRPr="002B370E">
        <w:rPr>
          <w:b/>
          <w:sz w:val="24"/>
          <w:szCs w:val="24"/>
        </w:rPr>
        <w:t>Appeals</w:t>
      </w:r>
    </w:p>
    <w:p w14:paraId="43580D60" w14:textId="57758615"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Tenderers believing that they have been harmed by an error or irregularity during the award process may file a complaint</w:t>
      </w:r>
      <w:r w:rsidR="00496026">
        <w:rPr>
          <w:sz w:val="22"/>
          <w:szCs w:val="22"/>
        </w:rPr>
        <w:t xml:space="preserve"> to the Contracting Authority </w:t>
      </w:r>
    </w:p>
    <w:p w14:paraId="2405E262" w14:textId="77777777" w:rsidR="00395A65" w:rsidRPr="00D54FCF" w:rsidRDefault="00395A65" w:rsidP="00395A65">
      <w:pPr>
        <w:keepNext/>
        <w:spacing w:before="120" w:after="120"/>
        <w:jc w:val="both"/>
        <w:rPr>
          <w:b/>
          <w:bCs/>
          <w:sz w:val="24"/>
          <w:szCs w:val="24"/>
        </w:rPr>
      </w:pPr>
      <w:r w:rsidRPr="00D54FCF">
        <w:rPr>
          <w:b/>
          <w:bCs/>
          <w:sz w:val="24"/>
          <w:szCs w:val="24"/>
        </w:rPr>
        <w:t>17. Data Protection</w:t>
      </w:r>
    </w:p>
    <w:p w14:paraId="16AED6C5" w14:textId="3B7EA9D9" w:rsidR="00395A65" w:rsidRPr="001B3873" w:rsidRDefault="00395A65" w:rsidP="00956082">
      <w:pPr>
        <w:spacing w:before="120"/>
        <w:jc w:val="both"/>
        <w:rPr>
          <w:sz w:val="22"/>
          <w:szCs w:val="22"/>
        </w:rPr>
      </w:pPr>
      <w:r w:rsidRPr="001B3873">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7C018369" w14:textId="77777777" w:rsidR="00395A65" w:rsidRPr="001B3873" w:rsidRDefault="00395A65" w:rsidP="00395A65">
      <w:pPr>
        <w:ind w:left="720"/>
        <w:rPr>
          <w:sz w:val="22"/>
          <w:szCs w:val="22"/>
        </w:rPr>
      </w:pPr>
    </w:p>
    <w:p w14:paraId="611B4BDA" w14:textId="45F79D8E" w:rsidR="00395A65" w:rsidRPr="00D54FCF" w:rsidRDefault="00395A65" w:rsidP="00395A65">
      <w:pPr>
        <w:jc w:val="both"/>
        <w:rPr>
          <w:sz w:val="22"/>
          <w:szCs w:val="22"/>
        </w:rPr>
      </w:pPr>
      <w:r w:rsidRPr="001B3873">
        <w:rPr>
          <w:sz w:val="22"/>
          <w:szCs w:val="22"/>
        </w:rPr>
        <w:t>In cases where you are processing personal data in the context of participation to a tender (</w:t>
      </w:r>
      <w:proofErr w:type="gramStart"/>
      <w:r w:rsidRPr="001B3873">
        <w:rPr>
          <w:sz w:val="22"/>
          <w:szCs w:val="22"/>
        </w:rPr>
        <w:t>e.g.</w:t>
      </w:r>
      <w:proofErr w:type="gramEnd"/>
      <w:r w:rsidRPr="001B3873">
        <w:rPr>
          <w:sz w:val="22"/>
          <w:szCs w:val="22"/>
        </w:rPr>
        <w:t xml:space="preserve">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r w:rsidR="001B3873" w:rsidRPr="001B3873">
        <w:rPr>
          <w:sz w:val="22"/>
          <w:szCs w:val="22"/>
        </w:rPr>
        <w:t>.</w:t>
      </w:r>
    </w:p>
    <w:p w14:paraId="17A57A1B" w14:textId="7C47BB84" w:rsidR="003436FE" w:rsidRPr="00AD64B5" w:rsidRDefault="003436FE" w:rsidP="000E38EE">
      <w:pPr>
        <w:spacing w:after="60"/>
        <w:jc w:val="both"/>
        <w:rPr>
          <w:sz w:val="22"/>
          <w:szCs w:val="22"/>
        </w:rPr>
      </w:pPr>
    </w:p>
    <w:p w14:paraId="424A1867" w14:textId="77777777" w:rsidR="003436FE" w:rsidRPr="002B370E" w:rsidRDefault="003436FE" w:rsidP="00135920">
      <w:pPr>
        <w:pStyle w:val="BodyText2"/>
        <w:tabs>
          <w:tab w:val="clear" w:pos="567"/>
          <w:tab w:val="left" w:pos="0"/>
          <w:tab w:val="left" w:pos="630"/>
        </w:tabs>
        <w:spacing w:before="120" w:after="120"/>
        <w:rPr>
          <w:sz w:val="22"/>
          <w:szCs w:val="22"/>
        </w:rPr>
      </w:pPr>
    </w:p>
    <w:sectPr w:rsidR="003436FE" w:rsidRPr="002B370E" w:rsidSect="003C5C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E963" w14:textId="77777777" w:rsidR="007D1814" w:rsidRDefault="007D1814">
      <w:r>
        <w:separator/>
      </w:r>
    </w:p>
  </w:endnote>
  <w:endnote w:type="continuationSeparator" w:id="0">
    <w:p w14:paraId="2ED000B9" w14:textId="77777777" w:rsidR="007D1814" w:rsidRDefault="007D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62FA" w14:textId="77777777" w:rsidR="00FF4D14" w:rsidRDefault="00FF4D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698FD54D" w14:textId="77777777" w:rsidR="00FF4D14" w:rsidRDefault="00FF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ADBB" w14:textId="4859D59C" w:rsidR="00FF4D14" w:rsidRPr="002B370E" w:rsidRDefault="001D7DF6" w:rsidP="003C5CBF">
    <w:pPr>
      <w:pStyle w:val="Footer"/>
      <w:tabs>
        <w:tab w:val="clear" w:pos="4320"/>
        <w:tab w:val="clear" w:pos="8640"/>
        <w:tab w:val="right" w:pos="8080"/>
      </w:tabs>
      <w:spacing w:before="120"/>
      <w:rPr>
        <w:rStyle w:val="PageNumber"/>
      </w:rPr>
    </w:pPr>
    <w:r>
      <w:rPr>
        <w:b/>
        <w:sz w:val="18"/>
        <w:szCs w:val="18"/>
      </w:rPr>
      <w:t>2021</w:t>
    </w:r>
    <w:r w:rsidR="006F03D5">
      <w:rPr>
        <w:b/>
        <w:sz w:val="18"/>
        <w:szCs w:val="18"/>
      </w:rPr>
      <w:t>.1</w:t>
    </w:r>
    <w:r w:rsidR="00FF4D14" w:rsidRPr="002B370E">
      <w:rPr>
        <w:rFonts w:ascii="Arial" w:hAnsi="Arial"/>
      </w:rPr>
      <w:tab/>
    </w:r>
    <w:r w:rsidR="00FF4D14" w:rsidRPr="002B370E">
      <w:t xml:space="preserve">Page </w:t>
    </w:r>
    <w:r w:rsidR="00FF4D14" w:rsidRPr="002B370E">
      <w:rPr>
        <w:rStyle w:val="PageNumber"/>
      </w:rPr>
      <w:fldChar w:fldCharType="begin"/>
    </w:r>
    <w:r w:rsidR="00FF4D14" w:rsidRPr="002B370E">
      <w:rPr>
        <w:rStyle w:val="PageNumber"/>
      </w:rPr>
      <w:instrText xml:space="preserve"> PAGE </w:instrText>
    </w:r>
    <w:r w:rsidR="00FF4D14" w:rsidRPr="002B370E">
      <w:rPr>
        <w:rStyle w:val="PageNumber"/>
      </w:rPr>
      <w:fldChar w:fldCharType="separate"/>
    </w:r>
    <w:r w:rsidR="002A10CF">
      <w:rPr>
        <w:rStyle w:val="PageNumber"/>
        <w:noProof/>
      </w:rPr>
      <w:t>1</w:t>
    </w:r>
    <w:r w:rsidR="00FF4D14" w:rsidRPr="002B370E">
      <w:rPr>
        <w:rStyle w:val="PageNumber"/>
      </w:rPr>
      <w:fldChar w:fldCharType="end"/>
    </w:r>
    <w:r w:rsidR="00FF4D14" w:rsidRPr="002B370E">
      <w:rPr>
        <w:rStyle w:val="PageNumber"/>
      </w:rPr>
      <w:t xml:space="preserve"> of </w:t>
    </w:r>
    <w:r w:rsidR="00FF4D14" w:rsidRPr="002B370E">
      <w:rPr>
        <w:rStyle w:val="PageNumber"/>
      </w:rPr>
      <w:fldChar w:fldCharType="begin"/>
    </w:r>
    <w:r w:rsidR="00FF4D14" w:rsidRPr="002B370E">
      <w:rPr>
        <w:rStyle w:val="PageNumber"/>
      </w:rPr>
      <w:instrText xml:space="preserve"> NUMPAGES </w:instrText>
    </w:r>
    <w:r w:rsidR="00FF4D14" w:rsidRPr="002B370E">
      <w:rPr>
        <w:rStyle w:val="PageNumber"/>
      </w:rPr>
      <w:fldChar w:fldCharType="separate"/>
    </w:r>
    <w:r w:rsidR="002A10CF">
      <w:rPr>
        <w:rStyle w:val="PageNumber"/>
        <w:noProof/>
      </w:rPr>
      <w:t>21</w:t>
    </w:r>
    <w:r w:rsidR="00FF4D14" w:rsidRPr="002B370E">
      <w:rPr>
        <w:rStyle w:val="PageNumber"/>
      </w:rPr>
      <w:fldChar w:fldCharType="end"/>
    </w:r>
  </w:p>
  <w:p w14:paraId="7EA68F1C" w14:textId="77777777" w:rsidR="00FF4D14" w:rsidRPr="002B370E" w:rsidRDefault="00FF4D14" w:rsidP="003436FE">
    <w:pPr>
      <w:pStyle w:val="Footer"/>
      <w:tabs>
        <w:tab w:val="clear" w:pos="4320"/>
        <w:tab w:val="clear" w:pos="8640"/>
        <w:tab w:val="right" w:pos="8080"/>
      </w:tabs>
    </w:pPr>
    <w:r>
      <w:rPr>
        <w:noProof/>
      </w:rPr>
      <w:fldChar w:fldCharType="begin"/>
    </w:r>
    <w:r>
      <w:rPr>
        <w:noProof/>
      </w:rPr>
      <w:instrText xml:space="preserve"> FILENAME </w:instrText>
    </w:r>
    <w:r>
      <w:rPr>
        <w:noProof/>
      </w:rPr>
      <w:fldChar w:fldCharType="separate"/>
    </w:r>
    <w:r>
      <w:rPr>
        <w:noProof/>
      </w:rPr>
      <w:t>b8b_itt_en.doc</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E4F8" w14:textId="77777777" w:rsidR="00FF4D14" w:rsidRPr="002B370E" w:rsidRDefault="00FF4D14" w:rsidP="00695F78">
    <w:pPr>
      <w:pStyle w:val="Footer"/>
      <w:tabs>
        <w:tab w:val="clear" w:pos="4320"/>
        <w:tab w:val="clear" w:pos="8640"/>
        <w:tab w:val="right" w:pos="8080"/>
      </w:tabs>
      <w:spacing w:before="120"/>
      <w:rPr>
        <w:rStyle w:val="PageNumber"/>
        <w:sz w:val="18"/>
        <w:szCs w:val="18"/>
      </w:rPr>
    </w:pPr>
    <w:r>
      <w:rPr>
        <w:b/>
        <w:snapToGrid w:val="0"/>
        <w:sz w:val="18"/>
        <w:szCs w:val="18"/>
      </w:rPr>
      <w:t>May 2018</w:t>
    </w:r>
    <w:r w:rsidRPr="002B370E">
      <w:rPr>
        <w:sz w:val="18"/>
        <w:szCs w:val="18"/>
      </w:rPr>
      <w:tab/>
      <w:t xml:space="preserve">Page </w:t>
    </w:r>
    <w:r w:rsidRPr="002B370E">
      <w:rPr>
        <w:rStyle w:val="PageNumber"/>
        <w:sz w:val="18"/>
        <w:szCs w:val="18"/>
      </w:rPr>
      <w:fldChar w:fldCharType="begin"/>
    </w:r>
    <w:r w:rsidRPr="002B370E">
      <w:rPr>
        <w:rStyle w:val="PageNumber"/>
        <w:sz w:val="18"/>
        <w:szCs w:val="18"/>
      </w:rPr>
      <w:instrText xml:space="preserve"> PAGE </w:instrText>
    </w:r>
    <w:r w:rsidRPr="002B370E">
      <w:rPr>
        <w:rStyle w:val="PageNumber"/>
        <w:sz w:val="18"/>
        <w:szCs w:val="18"/>
      </w:rPr>
      <w:fldChar w:fldCharType="separate"/>
    </w:r>
    <w:r>
      <w:rPr>
        <w:rStyle w:val="PageNumber"/>
        <w:noProof/>
        <w:sz w:val="18"/>
        <w:szCs w:val="18"/>
      </w:rPr>
      <w:t>1</w:t>
    </w:r>
    <w:r w:rsidRPr="002B370E">
      <w:rPr>
        <w:rStyle w:val="PageNumber"/>
        <w:sz w:val="18"/>
        <w:szCs w:val="18"/>
      </w:rPr>
      <w:fldChar w:fldCharType="end"/>
    </w:r>
    <w:r w:rsidRPr="002B370E">
      <w:rPr>
        <w:rStyle w:val="PageNumber"/>
        <w:sz w:val="18"/>
        <w:szCs w:val="18"/>
      </w:rPr>
      <w:t xml:space="preserve"> of </w:t>
    </w:r>
    <w:r w:rsidRPr="002B370E">
      <w:rPr>
        <w:rStyle w:val="PageNumber"/>
        <w:sz w:val="18"/>
        <w:szCs w:val="18"/>
      </w:rPr>
      <w:fldChar w:fldCharType="begin"/>
    </w:r>
    <w:r w:rsidRPr="002B370E">
      <w:rPr>
        <w:rStyle w:val="PageNumber"/>
        <w:sz w:val="18"/>
        <w:szCs w:val="18"/>
      </w:rPr>
      <w:instrText xml:space="preserve"> NUMPAGES </w:instrText>
    </w:r>
    <w:r w:rsidRPr="002B370E">
      <w:rPr>
        <w:rStyle w:val="PageNumber"/>
        <w:sz w:val="18"/>
        <w:szCs w:val="18"/>
      </w:rPr>
      <w:fldChar w:fldCharType="separate"/>
    </w:r>
    <w:r>
      <w:rPr>
        <w:rStyle w:val="PageNumber"/>
        <w:noProof/>
        <w:sz w:val="18"/>
        <w:szCs w:val="18"/>
      </w:rPr>
      <w:t>18</w:t>
    </w:r>
    <w:r w:rsidRPr="002B370E">
      <w:rPr>
        <w:rStyle w:val="PageNumber"/>
        <w:sz w:val="18"/>
        <w:szCs w:val="18"/>
      </w:rPr>
      <w:fldChar w:fldCharType="end"/>
    </w:r>
    <w:bookmarkStart w:id="4" w:name="_Hlt26943623"/>
    <w:bookmarkEnd w:id="4"/>
  </w:p>
  <w:p w14:paraId="3279BCCF" w14:textId="77777777" w:rsidR="00FF4D14" w:rsidRPr="002B370E" w:rsidRDefault="00FF4D14"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Pr>
        <w:noProof/>
        <w:sz w:val="18"/>
        <w:szCs w:val="18"/>
      </w:rPr>
      <w:t>b8b_itt_en.doc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8B59" w14:textId="77777777" w:rsidR="007D1814" w:rsidRDefault="007D1814">
      <w:r>
        <w:separator/>
      </w:r>
    </w:p>
  </w:footnote>
  <w:footnote w:type="continuationSeparator" w:id="0">
    <w:p w14:paraId="5EFCB02B" w14:textId="77777777" w:rsidR="007D1814" w:rsidRDefault="007D1814">
      <w:r>
        <w:continuationSeparator/>
      </w:r>
    </w:p>
  </w:footnote>
  <w:footnote w:id="1">
    <w:p w14:paraId="34982F36" w14:textId="77777777" w:rsidR="00875AF1" w:rsidRPr="001352B5" w:rsidRDefault="00875AF1" w:rsidP="00875AF1">
      <w:pPr>
        <w:pStyle w:val="FootnoteText"/>
      </w:pPr>
      <w:r>
        <w:rPr>
          <w:rStyle w:val="FootnoteReference"/>
        </w:rPr>
        <w:footnoteRef/>
      </w:r>
      <w:r>
        <w:t xml:space="preserve"> </w:t>
      </w:r>
      <w:r w:rsidRPr="00695F7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2B2F" w14:textId="77777777" w:rsidR="006F03D5" w:rsidRDefault="006F0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12F8" w14:textId="77777777" w:rsidR="006F03D5" w:rsidRDefault="006F0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D347" w14:textId="77777777" w:rsidR="00FF4D14" w:rsidRPr="00AD4777" w:rsidRDefault="00FF4D14">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4"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6"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7"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9"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3"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5"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6"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8" w15:restartNumberingAfterBreak="0">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20"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21" w15:restartNumberingAfterBreak="0">
    <w:nsid w:val="2D111578"/>
    <w:multiLevelType w:val="hybridMultilevel"/>
    <w:tmpl w:val="711A93A2"/>
    <w:lvl w:ilvl="0" w:tplc="C53ACE1A">
      <w:start w:val="1"/>
      <w:numFmt w:val="bullet"/>
      <w:lvlText w:val="-"/>
      <w:lvlJc w:val="left"/>
      <w:pPr>
        <w:ind w:left="933" w:hanging="360"/>
      </w:pPr>
      <w:rPr>
        <w:rFonts w:ascii="Times New Roman" w:eastAsia="Times New Roman" w:hAnsi="Times New Roman" w:cs="Times New Roman" w:hint="default"/>
      </w:rPr>
    </w:lvl>
    <w:lvl w:ilvl="1" w:tplc="08090003">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22" w15:restartNumberingAfterBreak="0">
    <w:nsid w:val="2FB6062C"/>
    <w:multiLevelType w:val="hybridMultilevel"/>
    <w:tmpl w:val="4AF29D20"/>
    <w:lvl w:ilvl="0" w:tplc="A59A85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5"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9"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30"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32"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33" w15:restartNumberingAfterBreak="0">
    <w:nsid w:val="4A4320E7"/>
    <w:multiLevelType w:val="hybridMultilevel"/>
    <w:tmpl w:val="002CD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35"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6"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8"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42" w15:restartNumberingAfterBreak="0">
    <w:nsid w:val="66580CB8"/>
    <w:multiLevelType w:val="hybridMultilevel"/>
    <w:tmpl w:val="3AFADE40"/>
    <w:lvl w:ilvl="0" w:tplc="482C42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44"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46"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8"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51"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52"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53"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5"/>
  </w:num>
  <w:num w:numId="3">
    <w:abstractNumId w:val="8"/>
  </w:num>
  <w:num w:numId="4">
    <w:abstractNumId w:val="9"/>
  </w:num>
  <w:num w:numId="5">
    <w:abstractNumId w:val="44"/>
  </w:num>
  <w:num w:numId="6">
    <w:abstractNumId w:val="13"/>
  </w:num>
  <w:num w:numId="7">
    <w:abstractNumId w:val="15"/>
  </w:num>
  <w:num w:numId="8">
    <w:abstractNumId w:val="12"/>
  </w:num>
  <w:num w:numId="9">
    <w:abstractNumId w:val="3"/>
  </w:num>
  <w:num w:numId="10">
    <w:abstractNumId w:val="31"/>
  </w:num>
  <w:num w:numId="11">
    <w:abstractNumId w:val="51"/>
  </w:num>
  <w:num w:numId="12">
    <w:abstractNumId w:val="19"/>
  </w:num>
  <w:num w:numId="13">
    <w:abstractNumId w:val="2"/>
  </w:num>
  <w:num w:numId="14">
    <w:abstractNumId w:val="14"/>
  </w:num>
  <w:num w:numId="15">
    <w:abstractNumId w:val="38"/>
  </w:num>
  <w:num w:numId="16">
    <w:abstractNumId w:val="6"/>
  </w:num>
  <w:num w:numId="17">
    <w:abstractNumId w:val="28"/>
  </w:num>
  <w:num w:numId="18">
    <w:abstractNumId w:val="29"/>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35"/>
  </w:num>
  <w:num w:numId="21">
    <w:abstractNumId w:val="32"/>
  </w:num>
  <w:num w:numId="22">
    <w:abstractNumId w:val="5"/>
  </w:num>
  <w:num w:numId="23">
    <w:abstractNumId w:val="46"/>
  </w:num>
  <w:num w:numId="24">
    <w:abstractNumId w:val="41"/>
  </w:num>
  <w:num w:numId="25">
    <w:abstractNumId w:val="17"/>
  </w:num>
  <w:num w:numId="26">
    <w:abstractNumId w:val="43"/>
  </w:num>
  <w:num w:numId="27">
    <w:abstractNumId w:val="20"/>
  </w:num>
  <w:num w:numId="28">
    <w:abstractNumId w:val="34"/>
  </w:num>
  <w:num w:numId="29">
    <w:abstractNumId w:val="23"/>
  </w:num>
  <w:num w:numId="30">
    <w:abstractNumId w:val="47"/>
  </w:num>
  <w:num w:numId="31">
    <w:abstractNumId w:val="24"/>
  </w:num>
  <w:num w:numId="32">
    <w:abstractNumId w:val="52"/>
  </w:num>
  <w:num w:numId="33">
    <w:abstractNumId w:val="39"/>
  </w:num>
  <w:num w:numId="34">
    <w:abstractNumId w:val="27"/>
  </w:num>
  <w:num w:numId="35">
    <w:abstractNumId w:val="26"/>
  </w:num>
  <w:num w:numId="36">
    <w:abstractNumId w:val="36"/>
  </w:num>
  <w:num w:numId="37">
    <w:abstractNumId w:val="40"/>
  </w:num>
  <w:num w:numId="38">
    <w:abstractNumId w:val="50"/>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7"/>
  </w:num>
  <w:num w:numId="41">
    <w:abstractNumId w:val="16"/>
  </w:num>
  <w:num w:numId="42">
    <w:abstractNumId w:val="30"/>
  </w:num>
  <w:num w:numId="43">
    <w:abstractNumId w:val="10"/>
  </w:num>
  <w:num w:numId="44">
    <w:abstractNumId w:val="49"/>
  </w:num>
  <w:num w:numId="45">
    <w:abstractNumId w:val="25"/>
  </w:num>
  <w:num w:numId="46">
    <w:abstractNumId w:val="53"/>
  </w:num>
  <w:num w:numId="47">
    <w:abstractNumId w:val="48"/>
  </w:num>
  <w:num w:numId="48">
    <w:abstractNumId w:val="18"/>
  </w:num>
  <w:num w:numId="49">
    <w:abstractNumId w:val="1"/>
  </w:num>
  <w:num w:numId="50">
    <w:abstractNumId w:val="4"/>
  </w:num>
  <w:num w:numId="51">
    <w:abstractNumId w:val="1"/>
    <w:lvlOverride w:ilvl="0">
      <w:startOverride w:val="1"/>
    </w:lvlOverride>
    <w:lvlOverride w:ilvl="1"/>
    <w:lvlOverride w:ilvl="2"/>
    <w:lvlOverride w:ilvl="3"/>
    <w:lvlOverride w:ilvl="4"/>
    <w:lvlOverride w:ilvl="5"/>
    <w:lvlOverride w:ilvl="6"/>
    <w:lvlOverride w:ilvl="7"/>
    <w:lvlOverride w:ilvl="8"/>
  </w:num>
  <w:num w:numId="52">
    <w:abstractNumId w:val="7"/>
  </w:num>
  <w:num w:numId="53">
    <w:abstractNumId w:val="21"/>
  </w:num>
  <w:num w:numId="54">
    <w:abstractNumId w:val="22"/>
  </w:num>
  <w:num w:numId="55">
    <w:abstractNumId w:val="33"/>
  </w:num>
  <w:num w:numId="56">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550F2"/>
    <w:rsid w:val="00004FB1"/>
    <w:rsid w:val="00010683"/>
    <w:rsid w:val="00010DDE"/>
    <w:rsid w:val="00011C58"/>
    <w:rsid w:val="000151D8"/>
    <w:rsid w:val="00024BE9"/>
    <w:rsid w:val="00030C4C"/>
    <w:rsid w:val="00034330"/>
    <w:rsid w:val="000408EB"/>
    <w:rsid w:val="0004095E"/>
    <w:rsid w:val="00051CFE"/>
    <w:rsid w:val="00053FC9"/>
    <w:rsid w:val="0006359F"/>
    <w:rsid w:val="000648BB"/>
    <w:rsid w:val="00067614"/>
    <w:rsid w:val="0007457D"/>
    <w:rsid w:val="00076624"/>
    <w:rsid w:val="000801ED"/>
    <w:rsid w:val="00086344"/>
    <w:rsid w:val="000913E8"/>
    <w:rsid w:val="0009366A"/>
    <w:rsid w:val="00095404"/>
    <w:rsid w:val="000A2EC0"/>
    <w:rsid w:val="000A62E3"/>
    <w:rsid w:val="000A66D8"/>
    <w:rsid w:val="000A6C76"/>
    <w:rsid w:val="000B182D"/>
    <w:rsid w:val="000B7876"/>
    <w:rsid w:val="000C2FA9"/>
    <w:rsid w:val="000D14D4"/>
    <w:rsid w:val="000D20D5"/>
    <w:rsid w:val="000D3275"/>
    <w:rsid w:val="000D7C22"/>
    <w:rsid w:val="000E1546"/>
    <w:rsid w:val="000E38EE"/>
    <w:rsid w:val="000E4949"/>
    <w:rsid w:val="000E6A9C"/>
    <w:rsid w:val="000E705A"/>
    <w:rsid w:val="000F396A"/>
    <w:rsid w:val="0010297A"/>
    <w:rsid w:val="00107FD0"/>
    <w:rsid w:val="00112620"/>
    <w:rsid w:val="00114EAE"/>
    <w:rsid w:val="00116389"/>
    <w:rsid w:val="00123D3B"/>
    <w:rsid w:val="001245A3"/>
    <w:rsid w:val="0012517A"/>
    <w:rsid w:val="001320C0"/>
    <w:rsid w:val="00132AC3"/>
    <w:rsid w:val="00132C2D"/>
    <w:rsid w:val="001330EA"/>
    <w:rsid w:val="001352B5"/>
    <w:rsid w:val="00135920"/>
    <w:rsid w:val="001411CE"/>
    <w:rsid w:val="00144191"/>
    <w:rsid w:val="001546D1"/>
    <w:rsid w:val="0015671D"/>
    <w:rsid w:val="00162F2E"/>
    <w:rsid w:val="001671BA"/>
    <w:rsid w:val="001722D2"/>
    <w:rsid w:val="001905E9"/>
    <w:rsid w:val="00191BAF"/>
    <w:rsid w:val="001923A0"/>
    <w:rsid w:val="00195CF1"/>
    <w:rsid w:val="00197118"/>
    <w:rsid w:val="0019713F"/>
    <w:rsid w:val="001B0041"/>
    <w:rsid w:val="001B2C67"/>
    <w:rsid w:val="001B3873"/>
    <w:rsid w:val="001B53F1"/>
    <w:rsid w:val="001C0F8D"/>
    <w:rsid w:val="001C6084"/>
    <w:rsid w:val="001D4B42"/>
    <w:rsid w:val="001D6D6E"/>
    <w:rsid w:val="001D7DE1"/>
    <w:rsid w:val="001D7DF6"/>
    <w:rsid w:val="001E0F81"/>
    <w:rsid w:val="001F05D0"/>
    <w:rsid w:val="001F49DA"/>
    <w:rsid w:val="00200F20"/>
    <w:rsid w:val="002145F0"/>
    <w:rsid w:val="002158DE"/>
    <w:rsid w:val="00216E18"/>
    <w:rsid w:val="0022498C"/>
    <w:rsid w:val="00230A4D"/>
    <w:rsid w:val="002341B5"/>
    <w:rsid w:val="00236C06"/>
    <w:rsid w:val="00245C38"/>
    <w:rsid w:val="002527FB"/>
    <w:rsid w:val="002549D4"/>
    <w:rsid w:val="0025654F"/>
    <w:rsid w:val="00257FFE"/>
    <w:rsid w:val="00267A6D"/>
    <w:rsid w:val="00270A64"/>
    <w:rsid w:val="00276039"/>
    <w:rsid w:val="00276EDD"/>
    <w:rsid w:val="00277322"/>
    <w:rsid w:val="00280DDC"/>
    <w:rsid w:val="00283114"/>
    <w:rsid w:val="00284DA4"/>
    <w:rsid w:val="00285B8F"/>
    <w:rsid w:val="002870D9"/>
    <w:rsid w:val="00290ACC"/>
    <w:rsid w:val="002910D0"/>
    <w:rsid w:val="00294800"/>
    <w:rsid w:val="00296532"/>
    <w:rsid w:val="002A01F3"/>
    <w:rsid w:val="002A10CF"/>
    <w:rsid w:val="002A1E7B"/>
    <w:rsid w:val="002A3E8D"/>
    <w:rsid w:val="002A5DA4"/>
    <w:rsid w:val="002A75C6"/>
    <w:rsid w:val="002B0E84"/>
    <w:rsid w:val="002B2217"/>
    <w:rsid w:val="002B2ACE"/>
    <w:rsid w:val="002B75E8"/>
    <w:rsid w:val="002C0AA5"/>
    <w:rsid w:val="002C0C3A"/>
    <w:rsid w:val="002C2963"/>
    <w:rsid w:val="002C2F4F"/>
    <w:rsid w:val="002C70AD"/>
    <w:rsid w:val="002D0BBE"/>
    <w:rsid w:val="002D1DBA"/>
    <w:rsid w:val="002D45FA"/>
    <w:rsid w:val="002D60B1"/>
    <w:rsid w:val="002E4D13"/>
    <w:rsid w:val="002F1FC0"/>
    <w:rsid w:val="002F4BAC"/>
    <w:rsid w:val="002F6273"/>
    <w:rsid w:val="0030579B"/>
    <w:rsid w:val="003121C6"/>
    <w:rsid w:val="00323286"/>
    <w:rsid w:val="00324ED6"/>
    <w:rsid w:val="00330AC3"/>
    <w:rsid w:val="003352E7"/>
    <w:rsid w:val="00337A67"/>
    <w:rsid w:val="00340F05"/>
    <w:rsid w:val="003436FE"/>
    <w:rsid w:val="003473B1"/>
    <w:rsid w:val="00347F40"/>
    <w:rsid w:val="003515D3"/>
    <w:rsid w:val="00355789"/>
    <w:rsid w:val="003560DB"/>
    <w:rsid w:val="00356F32"/>
    <w:rsid w:val="00360191"/>
    <w:rsid w:val="00360FEF"/>
    <w:rsid w:val="003644F2"/>
    <w:rsid w:val="00364B4F"/>
    <w:rsid w:val="00367D4E"/>
    <w:rsid w:val="00372714"/>
    <w:rsid w:val="00383F09"/>
    <w:rsid w:val="00390F9D"/>
    <w:rsid w:val="00392058"/>
    <w:rsid w:val="003922CF"/>
    <w:rsid w:val="003924DF"/>
    <w:rsid w:val="00394C45"/>
    <w:rsid w:val="00395A65"/>
    <w:rsid w:val="00396D4A"/>
    <w:rsid w:val="0039731F"/>
    <w:rsid w:val="003A168B"/>
    <w:rsid w:val="003A3451"/>
    <w:rsid w:val="003B1395"/>
    <w:rsid w:val="003C1B95"/>
    <w:rsid w:val="003C2433"/>
    <w:rsid w:val="003C32A1"/>
    <w:rsid w:val="003C457E"/>
    <w:rsid w:val="003C4D53"/>
    <w:rsid w:val="003C5CBF"/>
    <w:rsid w:val="003C680B"/>
    <w:rsid w:val="003D4BC7"/>
    <w:rsid w:val="003D6F7B"/>
    <w:rsid w:val="003E033C"/>
    <w:rsid w:val="003E1798"/>
    <w:rsid w:val="003E2B40"/>
    <w:rsid w:val="003E417C"/>
    <w:rsid w:val="003E5072"/>
    <w:rsid w:val="003F033F"/>
    <w:rsid w:val="003F11CA"/>
    <w:rsid w:val="003F160F"/>
    <w:rsid w:val="003F36FE"/>
    <w:rsid w:val="00402958"/>
    <w:rsid w:val="00403BC2"/>
    <w:rsid w:val="00412E59"/>
    <w:rsid w:val="0041609B"/>
    <w:rsid w:val="004174D2"/>
    <w:rsid w:val="00420EB5"/>
    <w:rsid w:val="00430CD6"/>
    <w:rsid w:val="00434237"/>
    <w:rsid w:val="00436468"/>
    <w:rsid w:val="00442485"/>
    <w:rsid w:val="0044291E"/>
    <w:rsid w:val="00443293"/>
    <w:rsid w:val="004463B0"/>
    <w:rsid w:val="004560C1"/>
    <w:rsid w:val="0046146E"/>
    <w:rsid w:val="00462D3B"/>
    <w:rsid w:val="00463A51"/>
    <w:rsid w:val="00470D58"/>
    <w:rsid w:val="004723F7"/>
    <w:rsid w:val="00472847"/>
    <w:rsid w:val="00477B81"/>
    <w:rsid w:val="00484B93"/>
    <w:rsid w:val="00484CAF"/>
    <w:rsid w:val="0048664A"/>
    <w:rsid w:val="00491D2A"/>
    <w:rsid w:val="0049480E"/>
    <w:rsid w:val="00495144"/>
    <w:rsid w:val="0049516E"/>
    <w:rsid w:val="00496026"/>
    <w:rsid w:val="004968C0"/>
    <w:rsid w:val="004974AA"/>
    <w:rsid w:val="00497FEF"/>
    <w:rsid w:val="004A20C2"/>
    <w:rsid w:val="004A5395"/>
    <w:rsid w:val="004A5743"/>
    <w:rsid w:val="004A759B"/>
    <w:rsid w:val="004A7978"/>
    <w:rsid w:val="004B1952"/>
    <w:rsid w:val="004B585D"/>
    <w:rsid w:val="004C1442"/>
    <w:rsid w:val="004C2E96"/>
    <w:rsid w:val="004C402F"/>
    <w:rsid w:val="004C588C"/>
    <w:rsid w:val="004D2399"/>
    <w:rsid w:val="004E7C1C"/>
    <w:rsid w:val="004F1C6C"/>
    <w:rsid w:val="0050060E"/>
    <w:rsid w:val="00500A09"/>
    <w:rsid w:val="0050118C"/>
    <w:rsid w:val="00506C7B"/>
    <w:rsid w:val="00510846"/>
    <w:rsid w:val="005112FA"/>
    <w:rsid w:val="00513581"/>
    <w:rsid w:val="00515F54"/>
    <w:rsid w:val="00517439"/>
    <w:rsid w:val="005174E0"/>
    <w:rsid w:val="005275DC"/>
    <w:rsid w:val="0053408B"/>
    <w:rsid w:val="00537E5A"/>
    <w:rsid w:val="00547D23"/>
    <w:rsid w:val="00550017"/>
    <w:rsid w:val="005510F3"/>
    <w:rsid w:val="005611F8"/>
    <w:rsid w:val="0056210A"/>
    <w:rsid w:val="00562437"/>
    <w:rsid w:val="0056414B"/>
    <w:rsid w:val="005653B8"/>
    <w:rsid w:val="005709BB"/>
    <w:rsid w:val="005733E1"/>
    <w:rsid w:val="00574C51"/>
    <w:rsid w:val="00574DD1"/>
    <w:rsid w:val="005759DB"/>
    <w:rsid w:val="00581B72"/>
    <w:rsid w:val="00581E20"/>
    <w:rsid w:val="00590B4E"/>
    <w:rsid w:val="00592635"/>
    <w:rsid w:val="00594441"/>
    <w:rsid w:val="005946B1"/>
    <w:rsid w:val="00596823"/>
    <w:rsid w:val="005A261C"/>
    <w:rsid w:val="005B1CFE"/>
    <w:rsid w:val="005B2947"/>
    <w:rsid w:val="005C0196"/>
    <w:rsid w:val="005C4329"/>
    <w:rsid w:val="005C44AA"/>
    <w:rsid w:val="005C5EAE"/>
    <w:rsid w:val="005D17B7"/>
    <w:rsid w:val="005D2937"/>
    <w:rsid w:val="005D561D"/>
    <w:rsid w:val="005D6DF1"/>
    <w:rsid w:val="005D7C7C"/>
    <w:rsid w:val="005E267D"/>
    <w:rsid w:val="005E31F4"/>
    <w:rsid w:val="005F1EF3"/>
    <w:rsid w:val="00603135"/>
    <w:rsid w:val="006041F9"/>
    <w:rsid w:val="00607779"/>
    <w:rsid w:val="00607822"/>
    <w:rsid w:val="0061177F"/>
    <w:rsid w:val="006132FE"/>
    <w:rsid w:val="00617691"/>
    <w:rsid w:val="00617AC8"/>
    <w:rsid w:val="00617ECD"/>
    <w:rsid w:val="0062191B"/>
    <w:rsid w:val="00625184"/>
    <w:rsid w:val="006259C8"/>
    <w:rsid w:val="00630399"/>
    <w:rsid w:val="006305CC"/>
    <w:rsid w:val="00632671"/>
    <w:rsid w:val="006332F4"/>
    <w:rsid w:val="00634124"/>
    <w:rsid w:val="0063462A"/>
    <w:rsid w:val="006365A9"/>
    <w:rsid w:val="006577FB"/>
    <w:rsid w:val="00660FDC"/>
    <w:rsid w:val="00664C92"/>
    <w:rsid w:val="006671A1"/>
    <w:rsid w:val="00667D3F"/>
    <w:rsid w:val="00667DAE"/>
    <w:rsid w:val="00671B3D"/>
    <w:rsid w:val="00681768"/>
    <w:rsid w:val="006903D3"/>
    <w:rsid w:val="0069356A"/>
    <w:rsid w:val="0069477D"/>
    <w:rsid w:val="00694A32"/>
    <w:rsid w:val="00695F78"/>
    <w:rsid w:val="006A1730"/>
    <w:rsid w:val="006A4DD9"/>
    <w:rsid w:val="006A5EBB"/>
    <w:rsid w:val="006A60D3"/>
    <w:rsid w:val="006B5D3E"/>
    <w:rsid w:val="006C13E7"/>
    <w:rsid w:val="006C2E31"/>
    <w:rsid w:val="006D3532"/>
    <w:rsid w:val="006D41EB"/>
    <w:rsid w:val="006D6595"/>
    <w:rsid w:val="006F03D5"/>
    <w:rsid w:val="006F25A2"/>
    <w:rsid w:val="006F2E45"/>
    <w:rsid w:val="006F5D6C"/>
    <w:rsid w:val="00701BC0"/>
    <w:rsid w:val="00723171"/>
    <w:rsid w:val="00723F89"/>
    <w:rsid w:val="007253F2"/>
    <w:rsid w:val="00726033"/>
    <w:rsid w:val="00727DA7"/>
    <w:rsid w:val="0073129E"/>
    <w:rsid w:val="00731F28"/>
    <w:rsid w:val="00732F51"/>
    <w:rsid w:val="0073641C"/>
    <w:rsid w:val="00740133"/>
    <w:rsid w:val="00743575"/>
    <w:rsid w:val="0074538F"/>
    <w:rsid w:val="007501CA"/>
    <w:rsid w:val="007511A0"/>
    <w:rsid w:val="00752DFE"/>
    <w:rsid w:val="00755800"/>
    <w:rsid w:val="00756C91"/>
    <w:rsid w:val="0075795B"/>
    <w:rsid w:val="00763C86"/>
    <w:rsid w:val="00764CE7"/>
    <w:rsid w:val="00764EDA"/>
    <w:rsid w:val="00764FE7"/>
    <w:rsid w:val="007671B3"/>
    <w:rsid w:val="00770F66"/>
    <w:rsid w:val="007738B8"/>
    <w:rsid w:val="0077724A"/>
    <w:rsid w:val="007828CC"/>
    <w:rsid w:val="00785980"/>
    <w:rsid w:val="0078732E"/>
    <w:rsid w:val="0078774A"/>
    <w:rsid w:val="0079374A"/>
    <w:rsid w:val="007A0123"/>
    <w:rsid w:val="007A33DE"/>
    <w:rsid w:val="007A3907"/>
    <w:rsid w:val="007A6BE3"/>
    <w:rsid w:val="007C0F8D"/>
    <w:rsid w:val="007C5CD0"/>
    <w:rsid w:val="007D1814"/>
    <w:rsid w:val="007D65ED"/>
    <w:rsid w:val="007D7056"/>
    <w:rsid w:val="007E6A55"/>
    <w:rsid w:val="007E7D2E"/>
    <w:rsid w:val="007F026D"/>
    <w:rsid w:val="007F040C"/>
    <w:rsid w:val="007F0696"/>
    <w:rsid w:val="007F482D"/>
    <w:rsid w:val="007F760C"/>
    <w:rsid w:val="007F7A0E"/>
    <w:rsid w:val="008019BD"/>
    <w:rsid w:val="00802974"/>
    <w:rsid w:val="008053C7"/>
    <w:rsid w:val="00810173"/>
    <w:rsid w:val="008222F7"/>
    <w:rsid w:val="008244BC"/>
    <w:rsid w:val="008252E4"/>
    <w:rsid w:val="00825540"/>
    <w:rsid w:val="00835440"/>
    <w:rsid w:val="00835682"/>
    <w:rsid w:val="00840772"/>
    <w:rsid w:val="00840E25"/>
    <w:rsid w:val="0084208E"/>
    <w:rsid w:val="00845B24"/>
    <w:rsid w:val="0084730F"/>
    <w:rsid w:val="008531BA"/>
    <w:rsid w:val="00855F72"/>
    <w:rsid w:val="00857968"/>
    <w:rsid w:val="00860FEA"/>
    <w:rsid w:val="008614A1"/>
    <w:rsid w:val="00861D68"/>
    <w:rsid w:val="00862269"/>
    <w:rsid w:val="00866475"/>
    <w:rsid w:val="0086719E"/>
    <w:rsid w:val="008716ED"/>
    <w:rsid w:val="00875AF1"/>
    <w:rsid w:val="00876D5C"/>
    <w:rsid w:val="00876E3F"/>
    <w:rsid w:val="00883936"/>
    <w:rsid w:val="00886CB0"/>
    <w:rsid w:val="00890EE8"/>
    <w:rsid w:val="00893128"/>
    <w:rsid w:val="00897556"/>
    <w:rsid w:val="008A1B12"/>
    <w:rsid w:val="008A2D1A"/>
    <w:rsid w:val="008A2EDF"/>
    <w:rsid w:val="008A3B7F"/>
    <w:rsid w:val="008A6CC7"/>
    <w:rsid w:val="008A70DB"/>
    <w:rsid w:val="008B472A"/>
    <w:rsid w:val="008B4E58"/>
    <w:rsid w:val="008B590C"/>
    <w:rsid w:val="008B5D67"/>
    <w:rsid w:val="008B7461"/>
    <w:rsid w:val="008B776B"/>
    <w:rsid w:val="008C5E93"/>
    <w:rsid w:val="008D2F00"/>
    <w:rsid w:val="008D7D18"/>
    <w:rsid w:val="008E0D16"/>
    <w:rsid w:val="008E6FB3"/>
    <w:rsid w:val="008E708B"/>
    <w:rsid w:val="008F26C1"/>
    <w:rsid w:val="008F2B98"/>
    <w:rsid w:val="008F50EE"/>
    <w:rsid w:val="00902DD5"/>
    <w:rsid w:val="0090313A"/>
    <w:rsid w:val="0090536A"/>
    <w:rsid w:val="009063CE"/>
    <w:rsid w:val="0091289C"/>
    <w:rsid w:val="00912CE7"/>
    <w:rsid w:val="00917284"/>
    <w:rsid w:val="00917F5E"/>
    <w:rsid w:val="009263BF"/>
    <w:rsid w:val="009304D9"/>
    <w:rsid w:val="00931905"/>
    <w:rsid w:val="00933858"/>
    <w:rsid w:val="00936740"/>
    <w:rsid w:val="00937074"/>
    <w:rsid w:val="009407D2"/>
    <w:rsid w:val="0094340C"/>
    <w:rsid w:val="009436A4"/>
    <w:rsid w:val="00952198"/>
    <w:rsid w:val="0095459D"/>
    <w:rsid w:val="00956082"/>
    <w:rsid w:val="00957B6D"/>
    <w:rsid w:val="00960F2E"/>
    <w:rsid w:val="0096668F"/>
    <w:rsid w:val="009701F4"/>
    <w:rsid w:val="00971412"/>
    <w:rsid w:val="00971DFE"/>
    <w:rsid w:val="00973FC0"/>
    <w:rsid w:val="00981EE4"/>
    <w:rsid w:val="00982B79"/>
    <w:rsid w:val="00982C44"/>
    <w:rsid w:val="00986E5D"/>
    <w:rsid w:val="00986FC4"/>
    <w:rsid w:val="00987220"/>
    <w:rsid w:val="00994941"/>
    <w:rsid w:val="009951F1"/>
    <w:rsid w:val="009A1502"/>
    <w:rsid w:val="009B073E"/>
    <w:rsid w:val="009B3435"/>
    <w:rsid w:val="009B3B55"/>
    <w:rsid w:val="009B51D6"/>
    <w:rsid w:val="009B605A"/>
    <w:rsid w:val="009C3EB2"/>
    <w:rsid w:val="009C777F"/>
    <w:rsid w:val="009C7BD6"/>
    <w:rsid w:val="009D12E8"/>
    <w:rsid w:val="009D25DC"/>
    <w:rsid w:val="009D43FD"/>
    <w:rsid w:val="009D4E42"/>
    <w:rsid w:val="009E1701"/>
    <w:rsid w:val="009E695D"/>
    <w:rsid w:val="009F1607"/>
    <w:rsid w:val="009F4E9D"/>
    <w:rsid w:val="00A009D6"/>
    <w:rsid w:val="00A00C4C"/>
    <w:rsid w:val="00A019FF"/>
    <w:rsid w:val="00A05E70"/>
    <w:rsid w:val="00A060B5"/>
    <w:rsid w:val="00A07D0E"/>
    <w:rsid w:val="00A07EED"/>
    <w:rsid w:val="00A1307A"/>
    <w:rsid w:val="00A1520C"/>
    <w:rsid w:val="00A1574E"/>
    <w:rsid w:val="00A30058"/>
    <w:rsid w:val="00A329B2"/>
    <w:rsid w:val="00A33F3E"/>
    <w:rsid w:val="00A41FF4"/>
    <w:rsid w:val="00A42171"/>
    <w:rsid w:val="00A46441"/>
    <w:rsid w:val="00A522D6"/>
    <w:rsid w:val="00A52334"/>
    <w:rsid w:val="00A52D0F"/>
    <w:rsid w:val="00A61013"/>
    <w:rsid w:val="00A62E0D"/>
    <w:rsid w:val="00A645AC"/>
    <w:rsid w:val="00A655C7"/>
    <w:rsid w:val="00A676CA"/>
    <w:rsid w:val="00A70210"/>
    <w:rsid w:val="00A7065A"/>
    <w:rsid w:val="00A71182"/>
    <w:rsid w:val="00A71CA1"/>
    <w:rsid w:val="00A81096"/>
    <w:rsid w:val="00A85081"/>
    <w:rsid w:val="00A8663C"/>
    <w:rsid w:val="00A920EB"/>
    <w:rsid w:val="00A956FE"/>
    <w:rsid w:val="00AA3043"/>
    <w:rsid w:val="00AB5A10"/>
    <w:rsid w:val="00AB5C71"/>
    <w:rsid w:val="00AB7549"/>
    <w:rsid w:val="00AC3E5E"/>
    <w:rsid w:val="00AC4A12"/>
    <w:rsid w:val="00AC5A6D"/>
    <w:rsid w:val="00AD64B5"/>
    <w:rsid w:val="00AD75FF"/>
    <w:rsid w:val="00AE10C1"/>
    <w:rsid w:val="00AE127E"/>
    <w:rsid w:val="00AF0C80"/>
    <w:rsid w:val="00AF52D3"/>
    <w:rsid w:val="00AF52E8"/>
    <w:rsid w:val="00AF5383"/>
    <w:rsid w:val="00AF58E9"/>
    <w:rsid w:val="00AF5E8B"/>
    <w:rsid w:val="00AF71EE"/>
    <w:rsid w:val="00B0097D"/>
    <w:rsid w:val="00B036D3"/>
    <w:rsid w:val="00B064AC"/>
    <w:rsid w:val="00B124F1"/>
    <w:rsid w:val="00B12BC0"/>
    <w:rsid w:val="00B12C98"/>
    <w:rsid w:val="00B15D53"/>
    <w:rsid w:val="00B165A4"/>
    <w:rsid w:val="00B16907"/>
    <w:rsid w:val="00B224B8"/>
    <w:rsid w:val="00B231DF"/>
    <w:rsid w:val="00B2329A"/>
    <w:rsid w:val="00B25508"/>
    <w:rsid w:val="00B263FB"/>
    <w:rsid w:val="00B302CF"/>
    <w:rsid w:val="00B30658"/>
    <w:rsid w:val="00B30B16"/>
    <w:rsid w:val="00B31376"/>
    <w:rsid w:val="00B322BE"/>
    <w:rsid w:val="00B34D23"/>
    <w:rsid w:val="00B35B53"/>
    <w:rsid w:val="00B35BE1"/>
    <w:rsid w:val="00B37F77"/>
    <w:rsid w:val="00B4075F"/>
    <w:rsid w:val="00B50807"/>
    <w:rsid w:val="00B53824"/>
    <w:rsid w:val="00B55116"/>
    <w:rsid w:val="00B5592A"/>
    <w:rsid w:val="00B56865"/>
    <w:rsid w:val="00B57716"/>
    <w:rsid w:val="00B62022"/>
    <w:rsid w:val="00B62100"/>
    <w:rsid w:val="00B6364B"/>
    <w:rsid w:val="00B748D9"/>
    <w:rsid w:val="00B74FE3"/>
    <w:rsid w:val="00B767D5"/>
    <w:rsid w:val="00B77741"/>
    <w:rsid w:val="00B77947"/>
    <w:rsid w:val="00B8292F"/>
    <w:rsid w:val="00B83221"/>
    <w:rsid w:val="00B860B0"/>
    <w:rsid w:val="00B862E7"/>
    <w:rsid w:val="00B93E1E"/>
    <w:rsid w:val="00B95704"/>
    <w:rsid w:val="00B957ED"/>
    <w:rsid w:val="00B962B5"/>
    <w:rsid w:val="00BA1255"/>
    <w:rsid w:val="00BA1425"/>
    <w:rsid w:val="00BA59AC"/>
    <w:rsid w:val="00BA7B95"/>
    <w:rsid w:val="00BB37B4"/>
    <w:rsid w:val="00BB6C9D"/>
    <w:rsid w:val="00BB7F8A"/>
    <w:rsid w:val="00BC20DF"/>
    <w:rsid w:val="00BC3297"/>
    <w:rsid w:val="00BC4F57"/>
    <w:rsid w:val="00BC7E55"/>
    <w:rsid w:val="00BD15EF"/>
    <w:rsid w:val="00BD5B00"/>
    <w:rsid w:val="00BD68E6"/>
    <w:rsid w:val="00BE01D7"/>
    <w:rsid w:val="00BE3823"/>
    <w:rsid w:val="00BE522F"/>
    <w:rsid w:val="00BE535B"/>
    <w:rsid w:val="00BE7608"/>
    <w:rsid w:val="00BE7CAF"/>
    <w:rsid w:val="00BF01CC"/>
    <w:rsid w:val="00BF497E"/>
    <w:rsid w:val="00BF705D"/>
    <w:rsid w:val="00C018BA"/>
    <w:rsid w:val="00C06F58"/>
    <w:rsid w:val="00C1267B"/>
    <w:rsid w:val="00C139BB"/>
    <w:rsid w:val="00C15EC3"/>
    <w:rsid w:val="00C21D95"/>
    <w:rsid w:val="00C2286C"/>
    <w:rsid w:val="00C24CF8"/>
    <w:rsid w:val="00C26931"/>
    <w:rsid w:val="00C33368"/>
    <w:rsid w:val="00C40708"/>
    <w:rsid w:val="00C41562"/>
    <w:rsid w:val="00C415F0"/>
    <w:rsid w:val="00C55903"/>
    <w:rsid w:val="00C619A5"/>
    <w:rsid w:val="00C71920"/>
    <w:rsid w:val="00C80A93"/>
    <w:rsid w:val="00C80EEB"/>
    <w:rsid w:val="00C82310"/>
    <w:rsid w:val="00C8498F"/>
    <w:rsid w:val="00C91E5B"/>
    <w:rsid w:val="00C92723"/>
    <w:rsid w:val="00C93A9A"/>
    <w:rsid w:val="00C94CBF"/>
    <w:rsid w:val="00C97673"/>
    <w:rsid w:val="00CA0349"/>
    <w:rsid w:val="00CA0D55"/>
    <w:rsid w:val="00CA2145"/>
    <w:rsid w:val="00CA31B7"/>
    <w:rsid w:val="00CA466F"/>
    <w:rsid w:val="00CA7115"/>
    <w:rsid w:val="00CB03F6"/>
    <w:rsid w:val="00CB1B55"/>
    <w:rsid w:val="00CB5402"/>
    <w:rsid w:val="00CB58FE"/>
    <w:rsid w:val="00CC0E2A"/>
    <w:rsid w:val="00CC396F"/>
    <w:rsid w:val="00CC6455"/>
    <w:rsid w:val="00CD21C9"/>
    <w:rsid w:val="00CD52C8"/>
    <w:rsid w:val="00CD58E6"/>
    <w:rsid w:val="00CD78C3"/>
    <w:rsid w:val="00CE3809"/>
    <w:rsid w:val="00CF2D74"/>
    <w:rsid w:val="00CF4F14"/>
    <w:rsid w:val="00D004DC"/>
    <w:rsid w:val="00D00E76"/>
    <w:rsid w:val="00D022A2"/>
    <w:rsid w:val="00D050A7"/>
    <w:rsid w:val="00D07BE1"/>
    <w:rsid w:val="00D16EDF"/>
    <w:rsid w:val="00D22624"/>
    <w:rsid w:val="00D23409"/>
    <w:rsid w:val="00D25AD1"/>
    <w:rsid w:val="00D305DF"/>
    <w:rsid w:val="00D32C37"/>
    <w:rsid w:val="00D4050F"/>
    <w:rsid w:val="00D41760"/>
    <w:rsid w:val="00D41873"/>
    <w:rsid w:val="00D4662E"/>
    <w:rsid w:val="00D475F9"/>
    <w:rsid w:val="00D50F63"/>
    <w:rsid w:val="00D54C6B"/>
    <w:rsid w:val="00D54FCF"/>
    <w:rsid w:val="00D550F2"/>
    <w:rsid w:val="00D6077E"/>
    <w:rsid w:val="00D6597E"/>
    <w:rsid w:val="00D66C63"/>
    <w:rsid w:val="00D67EA5"/>
    <w:rsid w:val="00D80CD0"/>
    <w:rsid w:val="00D81285"/>
    <w:rsid w:val="00D84527"/>
    <w:rsid w:val="00D86F6D"/>
    <w:rsid w:val="00D90E7F"/>
    <w:rsid w:val="00D9249B"/>
    <w:rsid w:val="00D931F0"/>
    <w:rsid w:val="00D96E00"/>
    <w:rsid w:val="00DA221E"/>
    <w:rsid w:val="00DA36DC"/>
    <w:rsid w:val="00DB170E"/>
    <w:rsid w:val="00DB30DE"/>
    <w:rsid w:val="00DB3DFE"/>
    <w:rsid w:val="00DB44A8"/>
    <w:rsid w:val="00DC2764"/>
    <w:rsid w:val="00DC28AA"/>
    <w:rsid w:val="00DE1210"/>
    <w:rsid w:val="00DE5E66"/>
    <w:rsid w:val="00DF3566"/>
    <w:rsid w:val="00DF3854"/>
    <w:rsid w:val="00DF387E"/>
    <w:rsid w:val="00DF4EF4"/>
    <w:rsid w:val="00DF5D03"/>
    <w:rsid w:val="00E00BDA"/>
    <w:rsid w:val="00E013CC"/>
    <w:rsid w:val="00E152D1"/>
    <w:rsid w:val="00E30AD6"/>
    <w:rsid w:val="00E32ED2"/>
    <w:rsid w:val="00E35438"/>
    <w:rsid w:val="00E35507"/>
    <w:rsid w:val="00E35A94"/>
    <w:rsid w:val="00E446B7"/>
    <w:rsid w:val="00E44CB7"/>
    <w:rsid w:val="00E46553"/>
    <w:rsid w:val="00E527B2"/>
    <w:rsid w:val="00E61160"/>
    <w:rsid w:val="00E67BD8"/>
    <w:rsid w:val="00E740DD"/>
    <w:rsid w:val="00E8191A"/>
    <w:rsid w:val="00E86C7D"/>
    <w:rsid w:val="00E87624"/>
    <w:rsid w:val="00E92130"/>
    <w:rsid w:val="00E92704"/>
    <w:rsid w:val="00E93A5F"/>
    <w:rsid w:val="00E945EF"/>
    <w:rsid w:val="00E9632A"/>
    <w:rsid w:val="00E9652B"/>
    <w:rsid w:val="00E96687"/>
    <w:rsid w:val="00EA3F5A"/>
    <w:rsid w:val="00EA61B0"/>
    <w:rsid w:val="00EA6B94"/>
    <w:rsid w:val="00EA7FAC"/>
    <w:rsid w:val="00EB0510"/>
    <w:rsid w:val="00EC19B9"/>
    <w:rsid w:val="00EC32AB"/>
    <w:rsid w:val="00EC4820"/>
    <w:rsid w:val="00EC5AD4"/>
    <w:rsid w:val="00ED0499"/>
    <w:rsid w:val="00ED0788"/>
    <w:rsid w:val="00ED16B2"/>
    <w:rsid w:val="00ED2DCB"/>
    <w:rsid w:val="00ED3264"/>
    <w:rsid w:val="00ED4BBD"/>
    <w:rsid w:val="00ED724E"/>
    <w:rsid w:val="00EE391B"/>
    <w:rsid w:val="00EE626E"/>
    <w:rsid w:val="00EE6A73"/>
    <w:rsid w:val="00EF5123"/>
    <w:rsid w:val="00EF67ED"/>
    <w:rsid w:val="00F0288C"/>
    <w:rsid w:val="00F035B3"/>
    <w:rsid w:val="00F04AD3"/>
    <w:rsid w:val="00F10DB7"/>
    <w:rsid w:val="00F11265"/>
    <w:rsid w:val="00F11E9B"/>
    <w:rsid w:val="00F12B9F"/>
    <w:rsid w:val="00F13070"/>
    <w:rsid w:val="00F2199C"/>
    <w:rsid w:val="00F2764F"/>
    <w:rsid w:val="00F313E1"/>
    <w:rsid w:val="00F42348"/>
    <w:rsid w:val="00F44C90"/>
    <w:rsid w:val="00F45A69"/>
    <w:rsid w:val="00F51085"/>
    <w:rsid w:val="00F52AE3"/>
    <w:rsid w:val="00F52C4F"/>
    <w:rsid w:val="00F53979"/>
    <w:rsid w:val="00F539A1"/>
    <w:rsid w:val="00F5481B"/>
    <w:rsid w:val="00F55CC6"/>
    <w:rsid w:val="00F63D9B"/>
    <w:rsid w:val="00F6757F"/>
    <w:rsid w:val="00F7019B"/>
    <w:rsid w:val="00F721C7"/>
    <w:rsid w:val="00F72F8A"/>
    <w:rsid w:val="00F84B79"/>
    <w:rsid w:val="00F84C81"/>
    <w:rsid w:val="00F91CF3"/>
    <w:rsid w:val="00F938D1"/>
    <w:rsid w:val="00F951E3"/>
    <w:rsid w:val="00F958AD"/>
    <w:rsid w:val="00F9672D"/>
    <w:rsid w:val="00FA348C"/>
    <w:rsid w:val="00FA36AE"/>
    <w:rsid w:val="00FA44B9"/>
    <w:rsid w:val="00FA5C42"/>
    <w:rsid w:val="00FB73FE"/>
    <w:rsid w:val="00FC3DFA"/>
    <w:rsid w:val="00FC4D2C"/>
    <w:rsid w:val="00FC59F5"/>
    <w:rsid w:val="00FC638A"/>
    <w:rsid w:val="00FD0FB3"/>
    <w:rsid w:val="00FD2F00"/>
    <w:rsid w:val="00FD3208"/>
    <w:rsid w:val="00FD4A25"/>
    <w:rsid w:val="00FE1479"/>
    <w:rsid w:val="00FF1651"/>
    <w:rsid w:val="00FF4D14"/>
    <w:rsid w:val="00FF4F29"/>
    <w:rsid w:val="00FF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9A26"/>
  <w15:chartTrackingRefBased/>
  <w15:docId w15:val="{88F5666C-4035-4D07-84C9-B71DDB01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5A"/>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link w:val="BodyTextIndentChar"/>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395A65"/>
  </w:style>
  <w:style w:type="paragraph" w:customStyle="1" w:styleId="Numbered">
    <w:name w:val="Numbered"/>
    <w:basedOn w:val="Normal"/>
    <w:link w:val="NumberedChar"/>
    <w:qFormat/>
    <w:rsid w:val="0061177F"/>
    <w:pPr>
      <w:numPr>
        <w:numId w:val="49"/>
      </w:numPr>
      <w:jc w:val="both"/>
    </w:pPr>
    <w:rPr>
      <w:sz w:val="24"/>
      <w:szCs w:val="24"/>
    </w:rPr>
  </w:style>
  <w:style w:type="character" w:customStyle="1" w:styleId="NumberedChar">
    <w:name w:val="Numbered Char"/>
    <w:link w:val="Numbered"/>
    <w:rsid w:val="0061177F"/>
    <w:rPr>
      <w:sz w:val="24"/>
      <w:szCs w:val="24"/>
    </w:rPr>
  </w:style>
  <w:style w:type="paragraph" w:customStyle="1" w:styleId="PRAGHeading2">
    <w:name w:val="PRAG Heading 2"/>
    <w:basedOn w:val="Normal"/>
    <w:rsid w:val="00D4662E"/>
    <w:pPr>
      <w:widowControl w:val="0"/>
      <w:numPr>
        <w:numId w:val="50"/>
      </w:numPr>
      <w:spacing w:before="100" w:after="100"/>
    </w:pPr>
    <w:rPr>
      <w:snapToGrid w:val="0"/>
      <w:sz w:val="24"/>
      <w:lang w:val="fr-FR" w:eastAsia="en-US"/>
    </w:rPr>
  </w:style>
  <w:style w:type="paragraph" w:customStyle="1" w:styleId="Text1">
    <w:name w:val="Text 1"/>
    <w:basedOn w:val="Normal"/>
    <w:link w:val="Text1Char"/>
    <w:qFormat/>
    <w:rsid w:val="00EC4820"/>
    <w:pPr>
      <w:spacing w:before="100" w:beforeAutospacing="1" w:after="100" w:afterAutospacing="1"/>
      <w:jc w:val="both"/>
    </w:pPr>
    <w:rPr>
      <w:b/>
      <w:sz w:val="24"/>
      <w:szCs w:val="24"/>
    </w:rPr>
  </w:style>
  <w:style w:type="character" w:customStyle="1" w:styleId="Text1Char">
    <w:name w:val="Text 1 Char"/>
    <w:link w:val="Text1"/>
    <w:rsid w:val="00EC4820"/>
    <w:rPr>
      <w:b/>
      <w:sz w:val="24"/>
      <w:szCs w:val="24"/>
    </w:rPr>
  </w:style>
  <w:style w:type="character" w:customStyle="1" w:styleId="BodyTextIndentChar">
    <w:name w:val="Body Text Indent Char"/>
    <w:link w:val="BodyTextIndent"/>
    <w:rsid w:val="00723F89"/>
    <w:rPr>
      <w:sz w:val="24"/>
    </w:rPr>
  </w:style>
  <w:style w:type="character" w:customStyle="1" w:styleId="HeaderChar">
    <w:name w:val="Header Char"/>
    <w:link w:val="Header"/>
    <w:uiPriority w:val="99"/>
    <w:rsid w:val="002A75C6"/>
  </w:style>
  <w:style w:type="paragraph" w:customStyle="1" w:styleId="Default">
    <w:name w:val="Default"/>
    <w:rsid w:val="00A1520C"/>
    <w:pPr>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1F4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770903570">
      <w:bodyDiv w:val="1"/>
      <w:marLeft w:val="0"/>
      <w:marRight w:val="0"/>
      <w:marTop w:val="0"/>
      <w:marBottom w:val="0"/>
      <w:divBdr>
        <w:top w:val="none" w:sz="0" w:space="0" w:color="auto"/>
        <w:left w:val="none" w:sz="0" w:space="0" w:color="auto"/>
        <w:bottom w:val="none" w:sz="0" w:space="0" w:color="auto"/>
        <w:right w:val="none" w:sz="0" w:space="0" w:color="auto"/>
      </w:divBdr>
    </w:div>
    <w:div w:id="90079365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3313824">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21055694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D733-9E04-4A3E-872F-15DE80CC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2616</Words>
  <Characters>14467</Characters>
  <Application>Microsoft Office Word</Application>
  <DocSecurity>0</DocSecurity>
  <Lines>314</Lines>
  <Paragraphs>196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16887</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Elvis Ndreka</cp:lastModifiedBy>
  <cp:revision>88</cp:revision>
  <cp:lastPrinted>2018-07-03T12:42:00Z</cp:lastPrinted>
  <dcterms:created xsi:type="dcterms:W3CDTF">2024-06-13T12:20:00Z</dcterms:created>
  <dcterms:modified xsi:type="dcterms:W3CDTF">2024-07-31T09:01:00Z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GrammarlyDocumentId">
    <vt:lpwstr>b239cbf0ff7f0a86c985e1e78dbf382c0866c963fa596a529e4bc07352db6ab6</vt:lpwstr>
  </property>
</Properties>
</file>