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693A" w14:textId="1190A68F" w:rsidR="00F00C61" w:rsidRPr="001E43A6" w:rsidRDefault="00F00C61" w:rsidP="00F00C61">
      <w:pPr>
        <w:jc w:val="center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  <w:b/>
          <w:sz w:val="32"/>
        </w:rPr>
        <w:t xml:space="preserve">Tender Dossier for Supply of </w:t>
      </w:r>
      <w:r w:rsidR="0026593C">
        <w:rPr>
          <w:rFonts w:ascii="Times New Roman" w:hAnsi="Times New Roman" w:cs="Times New Roman"/>
          <w:b/>
          <w:sz w:val="32"/>
        </w:rPr>
        <w:t xml:space="preserve">Scientific </w:t>
      </w:r>
      <w:r w:rsidR="00041B34">
        <w:rPr>
          <w:rFonts w:ascii="Times New Roman" w:hAnsi="Times New Roman" w:cs="Times New Roman"/>
          <w:b/>
          <w:sz w:val="32"/>
        </w:rPr>
        <w:t>Equipment</w:t>
      </w:r>
    </w:p>
    <w:p w14:paraId="31CA73B3" w14:textId="40A1D09E" w:rsidR="00F00C61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br/>
        <w:t>Contracting Authority: Co-PLAN, Institute for Habitat Development</w:t>
      </w:r>
    </w:p>
    <w:p w14:paraId="669E6117" w14:textId="537850E6" w:rsidR="001F0E3F" w:rsidRPr="001E43A6" w:rsidRDefault="001F0E3F" w:rsidP="00F0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Publication </w:t>
      </w:r>
      <w:r w:rsidR="00041B34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10 August 2025</w:t>
      </w:r>
    </w:p>
    <w:p w14:paraId="3EC55F7C" w14:textId="77777777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Deadline for Submission: 15 September 2025, 17:00 CET</w:t>
      </w:r>
      <w:r w:rsidRPr="001E43A6">
        <w:rPr>
          <w:rFonts w:ascii="Times New Roman" w:hAnsi="Times New Roman" w:cs="Times New Roman"/>
        </w:rPr>
        <w:br/>
      </w:r>
    </w:p>
    <w:p w14:paraId="34ED007F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1. Background</w:t>
      </w:r>
    </w:p>
    <w:p w14:paraId="0338E9EC" w14:textId="350F66FE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 xml:space="preserve">The objective is to equip the project team with </w:t>
      </w:r>
      <w:r w:rsidR="00001CC9">
        <w:rPr>
          <w:rFonts w:ascii="Times New Roman" w:hAnsi="Times New Roman" w:cs="Times New Roman"/>
        </w:rPr>
        <w:t>scientific</w:t>
      </w:r>
      <w:r w:rsidRPr="001E43A6">
        <w:rPr>
          <w:rFonts w:ascii="Times New Roman" w:hAnsi="Times New Roman" w:cs="Times New Roman"/>
        </w:rPr>
        <w:t xml:space="preserve"> devices necessary for the smooth implementation of activities. The process will be carried out in line with EU rules of transparency, equal treatment, and sound financial management.</w:t>
      </w:r>
    </w:p>
    <w:p w14:paraId="3972B7C9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2. Subject of the Tender</w:t>
      </w:r>
    </w:p>
    <w:p w14:paraId="01016494" w14:textId="77777777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The subject of this call is the supply, delivery, and warranty provision of electronic devices as described below:</w:t>
      </w:r>
    </w:p>
    <w:p w14:paraId="640E953D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The subject of this tender is the supply, delivery, and warranty provision of the following equipment:</w:t>
      </w:r>
    </w:p>
    <w:p w14:paraId="1E80413E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Tablets (20 units) for citizen science activities:</w:t>
      </w:r>
    </w:p>
    <w:p w14:paraId="3953B992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Portable, lightweight tablets (≥10’’ display, minimum 64 GB storage, Wi-Fi enabled, long-lasting battery ≥8h). Intended for field use in citizen science activities such as data collection, environmental monitoring apps, and participatory surveys. Should be durable and user-friendly.</w:t>
      </w:r>
    </w:p>
    <w:p w14:paraId="5C02EBE8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Soil testing kits / Soil moisture meters:</w:t>
      </w:r>
    </w:p>
    <w:p w14:paraId="77210343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Portable kits or electronic devices for measuring key soil parameters (moisture content, pH, salinity, temperature). Should include sensors or probes, display units, and calibration solutions. Intended for in-field environmental monitoring and educational demonstration.</w:t>
      </w:r>
    </w:p>
    <w:p w14:paraId="48871554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proofErr w:type="spellStart"/>
      <w:r w:rsidRPr="001E43A6">
        <w:rPr>
          <w:rFonts w:ascii="Times New Roman" w:hAnsi="Times New Roman" w:cs="Times New Roman"/>
        </w:rPr>
        <w:t>EnviMET</w:t>
      </w:r>
      <w:proofErr w:type="spellEnd"/>
      <w:r w:rsidRPr="001E43A6">
        <w:rPr>
          <w:rFonts w:ascii="Times New Roman" w:hAnsi="Times New Roman" w:cs="Times New Roman"/>
        </w:rPr>
        <w:t xml:space="preserve"> </w:t>
      </w:r>
      <w:proofErr w:type="spellStart"/>
      <w:r w:rsidRPr="001E43A6">
        <w:rPr>
          <w:rFonts w:ascii="Times New Roman" w:hAnsi="Times New Roman" w:cs="Times New Roman"/>
        </w:rPr>
        <w:t>licences</w:t>
      </w:r>
      <w:proofErr w:type="spellEnd"/>
      <w:r w:rsidRPr="001E43A6">
        <w:rPr>
          <w:rFonts w:ascii="Times New Roman" w:hAnsi="Times New Roman" w:cs="Times New Roman"/>
        </w:rPr>
        <w:t xml:space="preserve"> (3 units):</w:t>
      </w:r>
    </w:p>
    <w:p w14:paraId="014A1841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 xml:space="preserve">Software </w:t>
      </w:r>
      <w:proofErr w:type="spellStart"/>
      <w:r w:rsidRPr="001E43A6">
        <w:rPr>
          <w:rFonts w:ascii="Times New Roman" w:hAnsi="Times New Roman" w:cs="Times New Roman"/>
        </w:rPr>
        <w:t>licences</w:t>
      </w:r>
      <w:proofErr w:type="spellEnd"/>
      <w:r w:rsidRPr="001E43A6">
        <w:rPr>
          <w:rFonts w:ascii="Times New Roman" w:hAnsi="Times New Roman" w:cs="Times New Roman"/>
        </w:rPr>
        <w:t xml:space="preserve"> for microclimate and urban environment simulations. Should enable 3D modelling of urban form, vegetation, climate adaptation measures (e.g., Nature-Based Solutions), and provide visualization outputs. </w:t>
      </w:r>
      <w:proofErr w:type="spellStart"/>
      <w:r w:rsidRPr="001E43A6">
        <w:rPr>
          <w:rFonts w:ascii="Times New Roman" w:hAnsi="Times New Roman" w:cs="Times New Roman"/>
        </w:rPr>
        <w:t>Licences</w:t>
      </w:r>
      <w:proofErr w:type="spellEnd"/>
      <w:r w:rsidRPr="001E43A6">
        <w:rPr>
          <w:rFonts w:ascii="Times New Roman" w:hAnsi="Times New Roman" w:cs="Times New Roman"/>
        </w:rPr>
        <w:t xml:space="preserve"> must be valid for a minimum of 1 year, with full functionality.</w:t>
      </w:r>
    </w:p>
    <w:p w14:paraId="129115D6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Drone for advanced biodiversity mapping:</w:t>
      </w:r>
    </w:p>
    <w:p w14:paraId="62FF6A43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 xml:space="preserve">Unmanned aerial vehicle (UAV) equipped with a high-resolution camera (≥20 MP), GPS positioning, autonomous flight planning, and data storage. Intended for mapping biodiversity </w:t>
      </w:r>
      <w:r w:rsidRPr="001E43A6">
        <w:rPr>
          <w:rFonts w:ascii="Times New Roman" w:hAnsi="Times New Roman" w:cs="Times New Roman"/>
        </w:rPr>
        <w:lastRenderedPageBreak/>
        <w:t>habitats, vegetation cover, and monitoring environmental changes. Minimum flight time: 25 minutes per battery. Safety and compliance with aviation regulations required.</w:t>
      </w:r>
    </w:p>
    <w:p w14:paraId="7B9C8888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Multiparameter Benchtop Photometer and pH meter – HI83300 + reagent:</w:t>
      </w:r>
    </w:p>
    <w:p w14:paraId="3F2EB90D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Laboratory photometer capable of measuring multiple water quality parameters (e.g., pH, ammonia, nitrite, phosphate, chlorine, etc.), with digital display and reagent kits. Intended for laboratory analysis of environmental samples.</w:t>
      </w:r>
    </w:p>
    <w:p w14:paraId="7E7DF412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Photometer for Environmental Analysis – HI83306 + reagent:</w:t>
      </w:r>
    </w:p>
    <w:p w14:paraId="41095A43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Laboratory photometer designed for environmental monitoring, covering water analysis (nutrients, pollutants, turbidity, etc.). Should include reagent kits, sample vials, calibration standards, and user manual.</w:t>
      </w:r>
    </w:p>
    <w:p w14:paraId="1ED8A2C5" w14:textId="77777777" w:rsidR="001E43A6" w:rsidRPr="001E43A6" w:rsidRDefault="001E43A6" w:rsidP="001E43A6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Digital whiteboard for co-design workshops:</w:t>
      </w:r>
    </w:p>
    <w:p w14:paraId="77E91EA7" w14:textId="77777777" w:rsidR="001E43A6" w:rsidRPr="001E43A6" w:rsidRDefault="001E43A6" w:rsidP="001E43A6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Large interactive screen (≥65”), with multi-touch functionality, digital pens, wireless connectivity, and ability to support collaborative planning workshops. Intended for participatory planning and design of Nature-Based Solutions (NBS). Should allow live drawing, annotation, and integration with videoconferencing software.</w:t>
      </w:r>
    </w:p>
    <w:p w14:paraId="51F3F612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3. General Requirements</w:t>
      </w:r>
    </w:p>
    <w:p w14:paraId="40373FF1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Delivery and installation (if required) must be included in the offer.</w:t>
      </w:r>
    </w:p>
    <w:p w14:paraId="229CD78B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All devices must come with a minimum 1-year warranty (preferably 2 years).</w:t>
      </w:r>
    </w:p>
    <w:p w14:paraId="7605C4E9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Technical documentation/specifications must accompany the offer.</w:t>
      </w:r>
    </w:p>
    <w:p w14:paraId="5660218B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Equivalent or higher specifications will be accepted.</w:t>
      </w:r>
    </w:p>
    <w:p w14:paraId="40F3B7EC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4. Participation and Eligibility</w:t>
      </w:r>
    </w:p>
    <w:p w14:paraId="60E3BE30" w14:textId="0830210E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 xml:space="preserve">Participation is open to all natural and legal persons established </w:t>
      </w:r>
      <w:r w:rsidR="006B44EF" w:rsidRPr="001E43A6">
        <w:rPr>
          <w:rFonts w:ascii="Times New Roman" w:hAnsi="Times New Roman" w:cs="Times New Roman"/>
        </w:rPr>
        <w:t>in Albania.</w:t>
      </w:r>
    </w:p>
    <w:p w14:paraId="1C040F08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5. Submission of Offers</w:t>
      </w:r>
    </w:p>
    <w:p w14:paraId="62C16658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Offers must be submitted in English, electronically or by sealed envelope.</w:t>
      </w:r>
    </w:p>
    <w:p w14:paraId="30801FE7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The financial proposal must be presented in EUR, indicating VAT (included/excluded as per national law).</w:t>
      </w:r>
    </w:p>
    <w:p w14:paraId="3E54A3E7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Offers must remain valid for at least 60 days after the deadline.</w:t>
      </w:r>
    </w:p>
    <w:p w14:paraId="5020BD98" w14:textId="6DFF74FA" w:rsidR="00F00C61" w:rsidRPr="001E43A6" w:rsidRDefault="00F00C61" w:rsidP="00F00C61">
      <w:pPr>
        <w:pStyle w:val="ListBullet"/>
        <w:rPr>
          <w:rFonts w:ascii="Times New Roman" w:hAnsi="Times New Roman" w:cs="Times New Roman"/>
          <w:color w:val="FF0000"/>
        </w:rPr>
      </w:pPr>
      <w:r w:rsidRPr="001E43A6">
        <w:rPr>
          <w:rFonts w:ascii="Times New Roman" w:hAnsi="Times New Roman" w:cs="Times New Roman"/>
          <w:color w:val="FF0000"/>
        </w:rPr>
        <w:t xml:space="preserve">Partial offers (only for some items) </w:t>
      </w:r>
      <w:proofErr w:type="gramStart"/>
      <w:r w:rsidRPr="001E43A6">
        <w:rPr>
          <w:rFonts w:ascii="Times New Roman" w:hAnsi="Times New Roman" w:cs="Times New Roman"/>
          <w:color w:val="FF0000"/>
        </w:rPr>
        <w:t>will  be</w:t>
      </w:r>
      <w:proofErr w:type="gramEnd"/>
      <w:r w:rsidRPr="001E43A6">
        <w:rPr>
          <w:rFonts w:ascii="Times New Roman" w:hAnsi="Times New Roman" w:cs="Times New Roman"/>
          <w:color w:val="FF0000"/>
        </w:rPr>
        <w:t xml:space="preserve"> considered.</w:t>
      </w:r>
    </w:p>
    <w:p w14:paraId="1316408C" w14:textId="77777777" w:rsidR="00F00C61" w:rsidRPr="001E43A6" w:rsidRDefault="00F00C61" w:rsidP="00F00C61">
      <w:pPr>
        <w:rPr>
          <w:rFonts w:ascii="Times New Roman" w:hAnsi="Times New Roman" w:cs="Times New Roman"/>
          <w:b/>
          <w:bCs/>
        </w:rPr>
      </w:pPr>
      <w:r w:rsidRPr="001E43A6">
        <w:rPr>
          <w:rFonts w:ascii="Times New Roman" w:hAnsi="Times New Roman" w:cs="Times New Roman"/>
        </w:rPr>
        <w:t xml:space="preserve">Deadline for submission: </w:t>
      </w:r>
      <w:r w:rsidRPr="001E43A6">
        <w:rPr>
          <w:rFonts w:ascii="Times New Roman" w:hAnsi="Times New Roman" w:cs="Times New Roman"/>
          <w:b/>
          <w:bCs/>
        </w:rPr>
        <w:t>15 September 2025, 17:00 CET.</w:t>
      </w:r>
    </w:p>
    <w:p w14:paraId="57B6E38B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6. Evaluation Criteria</w:t>
      </w:r>
    </w:p>
    <w:p w14:paraId="1E443D8A" w14:textId="77777777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The contract will be awarded to the most economically advantageous tender, considering:</w:t>
      </w:r>
    </w:p>
    <w:p w14:paraId="3AF99C24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lastRenderedPageBreak/>
        <w:t>Compliance with technical specifications (pass/fail).</w:t>
      </w:r>
    </w:p>
    <w:p w14:paraId="14E7F616" w14:textId="4D60455E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Price competitiveness (</w:t>
      </w:r>
      <w:r w:rsidR="006B44EF" w:rsidRPr="001E43A6">
        <w:rPr>
          <w:rFonts w:ascii="Times New Roman" w:hAnsi="Times New Roman" w:cs="Times New Roman"/>
        </w:rPr>
        <w:t>50</w:t>
      </w:r>
      <w:r w:rsidRPr="001E43A6">
        <w:rPr>
          <w:rFonts w:ascii="Times New Roman" w:hAnsi="Times New Roman" w:cs="Times New Roman"/>
        </w:rPr>
        <w:t>%).</w:t>
      </w:r>
    </w:p>
    <w:p w14:paraId="21D857C7" w14:textId="77777777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Warranty, delivery time, and after-sales support (30%).</w:t>
      </w:r>
    </w:p>
    <w:p w14:paraId="03AC2019" w14:textId="78A85083" w:rsidR="00F00C61" w:rsidRPr="001E43A6" w:rsidRDefault="00F00C61" w:rsidP="00F00C61">
      <w:pPr>
        <w:pStyle w:val="ListBullet"/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Relevant supplier experience and references (</w:t>
      </w:r>
      <w:r w:rsidR="006B44EF" w:rsidRPr="001E43A6">
        <w:rPr>
          <w:rFonts w:ascii="Times New Roman" w:hAnsi="Times New Roman" w:cs="Times New Roman"/>
        </w:rPr>
        <w:t>2</w:t>
      </w:r>
      <w:r w:rsidRPr="001E43A6">
        <w:rPr>
          <w:rFonts w:ascii="Times New Roman" w:hAnsi="Times New Roman" w:cs="Times New Roman"/>
        </w:rPr>
        <w:t>0%).</w:t>
      </w:r>
    </w:p>
    <w:p w14:paraId="7D581866" w14:textId="77777777" w:rsidR="00F00C61" w:rsidRPr="001E43A6" w:rsidRDefault="00F00C61" w:rsidP="00F00C61">
      <w:pPr>
        <w:pStyle w:val="Heading1"/>
        <w:rPr>
          <w:rFonts w:ascii="Times New Roman" w:hAnsi="Times New Roman" w:cs="Times New Roman"/>
          <w:color w:val="auto"/>
        </w:rPr>
      </w:pPr>
      <w:r w:rsidRPr="001E43A6">
        <w:rPr>
          <w:rFonts w:ascii="Times New Roman" w:hAnsi="Times New Roman" w:cs="Times New Roman"/>
          <w:color w:val="auto"/>
        </w:rPr>
        <w:t>7. Contact Information</w:t>
      </w:r>
    </w:p>
    <w:p w14:paraId="37ACFF89" w14:textId="5E5CD11C" w:rsidR="00F00C61" w:rsidRPr="001E43A6" w:rsidRDefault="00F00C61" w:rsidP="00F00C61">
      <w:pPr>
        <w:rPr>
          <w:rFonts w:ascii="Times New Roman" w:hAnsi="Times New Roman" w:cs="Times New Roman"/>
        </w:rPr>
      </w:pPr>
      <w:r w:rsidRPr="001E43A6">
        <w:rPr>
          <w:rFonts w:ascii="Times New Roman" w:hAnsi="Times New Roman" w:cs="Times New Roman"/>
        </w:rPr>
        <w:t>All clarifications and offers must be sent to:</w:t>
      </w:r>
      <w:r w:rsidRPr="001E43A6">
        <w:rPr>
          <w:rFonts w:ascii="Times New Roman" w:hAnsi="Times New Roman" w:cs="Times New Roman"/>
        </w:rPr>
        <w:br/>
      </w:r>
      <w:r w:rsidRPr="001E43A6">
        <w:rPr>
          <w:rFonts w:ascii="Times New Roman" w:hAnsi="Times New Roman" w:cs="Times New Roman"/>
        </w:rPr>
        <w:br/>
      </w:r>
      <w:r w:rsidR="006B44EF" w:rsidRPr="001E43A6">
        <w:rPr>
          <w:rFonts w:ascii="Times New Roman" w:hAnsi="Times New Roman" w:cs="Times New Roman"/>
        </w:rPr>
        <w:t>Co-PLAN, Institute for Habitat Development</w:t>
      </w:r>
      <w:r w:rsidRPr="001E43A6">
        <w:rPr>
          <w:rFonts w:ascii="Times New Roman" w:hAnsi="Times New Roman" w:cs="Times New Roman"/>
        </w:rPr>
        <w:br/>
      </w:r>
      <w:r w:rsidRPr="001E43A6">
        <w:rPr>
          <w:rFonts w:ascii="Times New Roman" w:hAnsi="Times New Roman" w:cs="Times New Roman"/>
        </w:rPr>
        <w:br/>
        <w:t xml:space="preserve">Email: </w:t>
      </w:r>
      <w:r w:rsidR="006B44EF" w:rsidRPr="001E43A6">
        <w:rPr>
          <w:rFonts w:ascii="Times New Roman" w:hAnsi="Times New Roman" w:cs="Times New Roman"/>
        </w:rPr>
        <w:t>co-plan@co-plan.org</w:t>
      </w:r>
      <w:r w:rsidRPr="001E43A6">
        <w:rPr>
          <w:rFonts w:ascii="Times New Roman" w:hAnsi="Times New Roman" w:cs="Times New Roman"/>
        </w:rPr>
        <w:br/>
      </w:r>
    </w:p>
    <w:p w14:paraId="2F7DC0C0" w14:textId="77777777" w:rsidR="006D0644" w:rsidRPr="001E43A6" w:rsidRDefault="006D0644" w:rsidP="00F00C61">
      <w:pPr>
        <w:rPr>
          <w:rFonts w:ascii="Times New Roman" w:hAnsi="Times New Roman" w:cs="Times New Roman"/>
        </w:rPr>
      </w:pPr>
    </w:p>
    <w:sectPr w:rsidR="006D0644" w:rsidRPr="001E43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262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52"/>
    <w:rsid w:val="00001CC9"/>
    <w:rsid w:val="00041B34"/>
    <w:rsid w:val="001E43A6"/>
    <w:rsid w:val="001F0E3F"/>
    <w:rsid w:val="0026593C"/>
    <w:rsid w:val="00580552"/>
    <w:rsid w:val="006B44EF"/>
    <w:rsid w:val="006D0644"/>
    <w:rsid w:val="009F42C6"/>
    <w:rsid w:val="00B57D13"/>
    <w:rsid w:val="00BE7CF7"/>
    <w:rsid w:val="00C20EF1"/>
    <w:rsid w:val="00F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DAC0"/>
  <w15:chartTrackingRefBased/>
  <w15:docId w15:val="{0FBF4D07-CB8E-414C-8131-6CAD2A9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6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F00C6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Ogerta Gjiknuri</dc:creator>
  <cp:keywords/>
  <dc:description/>
  <cp:lastModifiedBy>Ogerta Gjiknuri</cp:lastModifiedBy>
  <cp:revision>9</cp:revision>
  <dcterms:created xsi:type="dcterms:W3CDTF">2025-08-30T08:34:00Z</dcterms:created>
  <dcterms:modified xsi:type="dcterms:W3CDTF">2025-08-30T08:43:00Z</dcterms:modified>
</cp:coreProperties>
</file>